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B7" w:rsidRPr="000A51B7" w:rsidRDefault="000A51B7" w:rsidP="000A51B7">
      <w:pPr>
        <w:spacing w:after="24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ZA"/>
        </w:rPr>
      </w:pPr>
      <w:r w:rsidRPr="000A51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ZA"/>
        </w:rPr>
        <w:t>LUSHABA v MEC FOR HEALTH, GAUTENG 2015 (3) SA 616 (GJ)</w:t>
      </w:r>
      <w:r w:rsidRPr="000A51B7">
        <w:rPr>
          <w:rFonts w:ascii="Verdana" w:eastAsia="Times New Roman" w:hAnsi="Verdana" w:cs="Times New Roman"/>
          <w:b/>
          <w:bCs/>
          <w:color w:val="000000"/>
          <w:sz w:val="20"/>
          <w:lang w:eastAsia="en-ZA"/>
        </w:rPr>
        <w:t> </w:t>
      </w:r>
      <w:r w:rsidRPr="000A51B7">
        <w:rPr>
          <w:rFonts w:ascii="Verdana" w:eastAsia="Times New Roman" w:hAnsi="Verdana" w:cs="Times New Roman"/>
          <w:color w:val="000000"/>
          <w:sz w:val="13"/>
          <w:lang w:eastAsia="en-ZA"/>
        </w:rPr>
        <w:t>A</w:t>
      </w:r>
    </w:p>
    <w:p w:rsidR="000A51B7" w:rsidRPr="000A51B7" w:rsidRDefault="000A51B7" w:rsidP="000A51B7">
      <w:pPr>
        <w:spacing w:after="24" w:line="240" w:lineRule="auto"/>
        <w:jc w:val="right"/>
        <w:rPr>
          <w:rFonts w:ascii="Verdana" w:eastAsia="Times New Roman" w:hAnsi="Verdana" w:cs="Times New Roman"/>
          <w:b/>
          <w:bCs/>
          <w:color w:val="808080"/>
          <w:sz w:val="16"/>
          <w:szCs w:val="16"/>
          <w:lang w:eastAsia="en-ZA"/>
        </w:rPr>
      </w:pPr>
      <w:r w:rsidRPr="000A51B7">
        <w:rPr>
          <w:rFonts w:ascii="Verdana" w:eastAsia="Times New Roman" w:hAnsi="Verdana" w:cs="Times New Roman"/>
          <w:b/>
          <w:bCs/>
          <w:color w:val="808080"/>
          <w:sz w:val="16"/>
          <w:szCs w:val="16"/>
          <w:lang w:eastAsia="en-ZA"/>
        </w:rPr>
        <w:t>2015 (3) SA p616</w:t>
      </w:r>
    </w:p>
    <w:p w:rsidR="000A51B7" w:rsidRPr="000A51B7" w:rsidRDefault="000A51B7" w:rsidP="000A51B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</w:pP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3"/>
        <w:gridCol w:w="4049"/>
      </w:tblGrid>
      <w:tr w:rsidR="000A51B7" w:rsidRPr="000A51B7" w:rsidTr="000A51B7">
        <w:tc>
          <w:tcPr>
            <w:tcW w:w="0" w:type="auto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:rsidR="000A51B7" w:rsidRPr="000A51B7" w:rsidRDefault="000A51B7" w:rsidP="000A51B7">
            <w:pPr>
              <w:spacing w:before="32" w:after="32" w:line="240" w:lineRule="auto"/>
              <w:divId w:val="590895993"/>
              <w:rPr>
                <w:rFonts w:ascii="Verdana" w:eastAsia="Times New Roman" w:hAnsi="Verdana" w:cs="Times New Roman"/>
                <w:sz w:val="20"/>
                <w:szCs w:val="20"/>
                <w:lang w:eastAsia="en-ZA"/>
              </w:rPr>
            </w:pPr>
            <w:r w:rsidRPr="000A51B7">
              <w:rPr>
                <w:rFonts w:ascii="Verdana" w:eastAsia="Times New Roman" w:hAnsi="Verdana" w:cs="Times New Roman"/>
                <w:b/>
                <w:bCs/>
                <w:sz w:val="17"/>
                <w:lang w:eastAsia="en-ZA"/>
              </w:rPr>
              <w:t>Citation</w:t>
            </w:r>
          </w:p>
          <w:p w:rsidR="000A51B7" w:rsidRPr="000A51B7" w:rsidRDefault="000A51B7" w:rsidP="000A51B7">
            <w:pPr>
              <w:spacing w:before="32" w:after="32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ZA"/>
              </w:rPr>
            </w:pPr>
            <w:r w:rsidRPr="000A51B7">
              <w:rPr>
                <w:rFonts w:ascii="Verdana" w:eastAsia="Times New Roman" w:hAnsi="Verdana" w:cs="Times New Roman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0" w:type="auto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:rsidR="000A51B7" w:rsidRPr="000A51B7" w:rsidRDefault="000A51B7" w:rsidP="000A51B7">
            <w:pPr>
              <w:spacing w:before="32" w:after="32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ZA"/>
              </w:rPr>
            </w:pPr>
            <w:r w:rsidRPr="000A51B7">
              <w:rPr>
                <w:rFonts w:ascii="Verdana" w:eastAsia="Times New Roman" w:hAnsi="Verdana" w:cs="Times New Roman"/>
                <w:sz w:val="20"/>
                <w:szCs w:val="20"/>
                <w:lang w:eastAsia="en-ZA"/>
              </w:rPr>
              <w:t>2015 (3) SA 616 (GJ)</w:t>
            </w:r>
          </w:p>
          <w:p w:rsidR="000A51B7" w:rsidRPr="000A51B7" w:rsidRDefault="000A51B7" w:rsidP="000A51B7">
            <w:pPr>
              <w:spacing w:before="32" w:after="32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ZA"/>
              </w:rPr>
            </w:pPr>
            <w:r w:rsidRPr="000A51B7">
              <w:rPr>
                <w:rFonts w:ascii="Verdana" w:eastAsia="Times New Roman" w:hAnsi="Verdana" w:cs="Times New Roman"/>
                <w:sz w:val="24"/>
                <w:szCs w:val="24"/>
                <w:lang w:eastAsia="en-ZA"/>
              </w:rPr>
              <w:t> </w:t>
            </w:r>
          </w:p>
        </w:tc>
      </w:tr>
      <w:tr w:rsidR="000A51B7" w:rsidRPr="000A51B7" w:rsidTr="000A51B7">
        <w:tc>
          <w:tcPr>
            <w:tcW w:w="0" w:type="auto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:rsidR="000A51B7" w:rsidRPr="000A51B7" w:rsidRDefault="000A51B7" w:rsidP="000A51B7">
            <w:pPr>
              <w:spacing w:before="32" w:after="32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ZA"/>
              </w:rPr>
            </w:pPr>
            <w:r w:rsidRPr="000A51B7">
              <w:rPr>
                <w:rFonts w:ascii="Verdana" w:eastAsia="Times New Roman" w:hAnsi="Verdana" w:cs="Times New Roman"/>
                <w:b/>
                <w:bCs/>
                <w:sz w:val="17"/>
                <w:lang w:eastAsia="en-ZA"/>
              </w:rPr>
              <w:t>Case No</w:t>
            </w:r>
          </w:p>
          <w:p w:rsidR="000A51B7" w:rsidRPr="000A51B7" w:rsidRDefault="000A51B7" w:rsidP="000A51B7">
            <w:pPr>
              <w:spacing w:before="32" w:after="32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ZA"/>
              </w:rPr>
            </w:pPr>
            <w:r w:rsidRPr="000A51B7">
              <w:rPr>
                <w:rFonts w:ascii="Verdana" w:eastAsia="Times New Roman" w:hAnsi="Verdana" w:cs="Times New Roman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0" w:type="auto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:rsidR="000A51B7" w:rsidRPr="000A51B7" w:rsidRDefault="000A51B7" w:rsidP="000A51B7">
            <w:pPr>
              <w:spacing w:before="32" w:after="32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ZA"/>
              </w:rPr>
            </w:pPr>
            <w:r w:rsidRPr="000A51B7">
              <w:rPr>
                <w:rFonts w:ascii="Verdana" w:eastAsia="Times New Roman" w:hAnsi="Verdana" w:cs="Times New Roman"/>
                <w:sz w:val="20"/>
                <w:szCs w:val="20"/>
                <w:lang w:eastAsia="en-ZA"/>
              </w:rPr>
              <w:t>17077/2012</w:t>
            </w:r>
          </w:p>
          <w:p w:rsidR="000A51B7" w:rsidRPr="000A51B7" w:rsidRDefault="000A51B7" w:rsidP="000A51B7">
            <w:pPr>
              <w:spacing w:before="32" w:after="32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ZA"/>
              </w:rPr>
            </w:pPr>
            <w:r w:rsidRPr="000A51B7">
              <w:rPr>
                <w:rFonts w:ascii="Verdana" w:eastAsia="Times New Roman" w:hAnsi="Verdana" w:cs="Times New Roman"/>
                <w:sz w:val="24"/>
                <w:szCs w:val="24"/>
                <w:lang w:eastAsia="en-ZA"/>
              </w:rPr>
              <w:t> </w:t>
            </w:r>
          </w:p>
        </w:tc>
      </w:tr>
      <w:tr w:rsidR="000A51B7" w:rsidRPr="000A51B7" w:rsidTr="000A51B7">
        <w:tc>
          <w:tcPr>
            <w:tcW w:w="0" w:type="auto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:rsidR="000A51B7" w:rsidRPr="000A51B7" w:rsidRDefault="000A51B7" w:rsidP="000A51B7">
            <w:pPr>
              <w:spacing w:before="32" w:after="32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ZA"/>
              </w:rPr>
            </w:pPr>
            <w:r w:rsidRPr="000A51B7">
              <w:rPr>
                <w:rFonts w:ascii="Verdana" w:eastAsia="Times New Roman" w:hAnsi="Verdana" w:cs="Times New Roman"/>
                <w:b/>
                <w:bCs/>
                <w:sz w:val="17"/>
                <w:lang w:eastAsia="en-ZA"/>
              </w:rPr>
              <w:t>Court</w:t>
            </w:r>
          </w:p>
          <w:p w:rsidR="000A51B7" w:rsidRPr="000A51B7" w:rsidRDefault="000A51B7" w:rsidP="000A51B7">
            <w:pPr>
              <w:spacing w:before="32" w:after="32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ZA"/>
              </w:rPr>
            </w:pPr>
            <w:r w:rsidRPr="000A51B7">
              <w:rPr>
                <w:rFonts w:ascii="Verdana" w:eastAsia="Times New Roman" w:hAnsi="Verdana" w:cs="Times New Roman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0" w:type="auto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:rsidR="000A51B7" w:rsidRPr="000A51B7" w:rsidRDefault="000A51B7" w:rsidP="000A51B7">
            <w:pPr>
              <w:spacing w:before="32" w:after="32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ZA"/>
              </w:rPr>
            </w:pPr>
            <w:r w:rsidRPr="000A51B7">
              <w:rPr>
                <w:rFonts w:ascii="Verdana" w:eastAsia="Times New Roman" w:hAnsi="Verdana" w:cs="Times New Roman"/>
                <w:sz w:val="20"/>
                <w:szCs w:val="20"/>
                <w:lang w:eastAsia="en-ZA"/>
              </w:rPr>
              <w:t>Gauteng Local Division, Johannesburg</w:t>
            </w:r>
          </w:p>
          <w:p w:rsidR="000A51B7" w:rsidRPr="000A51B7" w:rsidRDefault="000A51B7" w:rsidP="000A51B7">
            <w:pPr>
              <w:spacing w:before="32" w:after="32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ZA"/>
              </w:rPr>
            </w:pPr>
            <w:r w:rsidRPr="000A51B7">
              <w:rPr>
                <w:rFonts w:ascii="Verdana" w:eastAsia="Times New Roman" w:hAnsi="Verdana" w:cs="Times New Roman"/>
                <w:sz w:val="24"/>
                <w:szCs w:val="24"/>
                <w:lang w:eastAsia="en-ZA"/>
              </w:rPr>
              <w:t> </w:t>
            </w:r>
          </w:p>
        </w:tc>
      </w:tr>
      <w:tr w:rsidR="000A51B7" w:rsidRPr="000A51B7" w:rsidTr="000A51B7">
        <w:tc>
          <w:tcPr>
            <w:tcW w:w="0" w:type="auto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:rsidR="000A51B7" w:rsidRPr="000A51B7" w:rsidRDefault="000A51B7" w:rsidP="000A51B7">
            <w:pPr>
              <w:spacing w:before="32" w:after="32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ZA"/>
              </w:rPr>
            </w:pPr>
            <w:r w:rsidRPr="000A51B7">
              <w:rPr>
                <w:rFonts w:ascii="Verdana" w:eastAsia="Times New Roman" w:hAnsi="Verdana" w:cs="Times New Roman"/>
                <w:b/>
                <w:bCs/>
                <w:sz w:val="17"/>
                <w:lang w:eastAsia="en-ZA"/>
              </w:rPr>
              <w:t>Judge</w:t>
            </w:r>
          </w:p>
          <w:p w:rsidR="000A51B7" w:rsidRPr="000A51B7" w:rsidRDefault="000A51B7" w:rsidP="000A51B7">
            <w:pPr>
              <w:spacing w:before="32" w:after="32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ZA"/>
              </w:rPr>
            </w:pPr>
            <w:r w:rsidRPr="000A51B7">
              <w:rPr>
                <w:rFonts w:ascii="Verdana" w:eastAsia="Times New Roman" w:hAnsi="Verdana" w:cs="Times New Roman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0" w:type="auto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:rsidR="000A51B7" w:rsidRPr="000A51B7" w:rsidRDefault="000A51B7" w:rsidP="000A51B7">
            <w:pPr>
              <w:spacing w:before="32" w:after="32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ZA"/>
              </w:rPr>
            </w:pPr>
            <w:r w:rsidRPr="000A51B7">
              <w:rPr>
                <w:rFonts w:ascii="Verdana" w:eastAsia="Times New Roman" w:hAnsi="Verdana" w:cs="Times New Roman"/>
                <w:sz w:val="20"/>
                <w:szCs w:val="20"/>
                <w:lang w:eastAsia="en-ZA"/>
              </w:rPr>
              <w:t>Robinson AJ</w:t>
            </w:r>
          </w:p>
          <w:p w:rsidR="000A51B7" w:rsidRPr="000A51B7" w:rsidRDefault="000A51B7" w:rsidP="000A51B7">
            <w:pPr>
              <w:spacing w:before="32" w:after="32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ZA"/>
              </w:rPr>
            </w:pPr>
            <w:r w:rsidRPr="000A51B7">
              <w:rPr>
                <w:rFonts w:ascii="Verdana" w:eastAsia="Times New Roman" w:hAnsi="Verdana" w:cs="Times New Roman"/>
                <w:sz w:val="24"/>
                <w:szCs w:val="24"/>
                <w:lang w:eastAsia="en-ZA"/>
              </w:rPr>
              <w:t> </w:t>
            </w:r>
          </w:p>
        </w:tc>
      </w:tr>
      <w:tr w:rsidR="000A51B7" w:rsidRPr="000A51B7" w:rsidTr="000A51B7">
        <w:tc>
          <w:tcPr>
            <w:tcW w:w="0" w:type="auto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:rsidR="000A51B7" w:rsidRPr="000A51B7" w:rsidRDefault="000A51B7" w:rsidP="000A51B7">
            <w:pPr>
              <w:spacing w:before="32" w:after="32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ZA"/>
              </w:rPr>
            </w:pPr>
            <w:r w:rsidRPr="000A51B7">
              <w:rPr>
                <w:rFonts w:ascii="Verdana" w:eastAsia="Times New Roman" w:hAnsi="Verdana" w:cs="Times New Roman"/>
                <w:b/>
                <w:bCs/>
                <w:sz w:val="17"/>
                <w:lang w:eastAsia="en-ZA"/>
              </w:rPr>
              <w:t>Heard</w:t>
            </w:r>
          </w:p>
          <w:p w:rsidR="000A51B7" w:rsidRPr="000A51B7" w:rsidRDefault="000A51B7" w:rsidP="000A51B7">
            <w:pPr>
              <w:spacing w:before="32" w:after="32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ZA"/>
              </w:rPr>
            </w:pPr>
            <w:r w:rsidRPr="000A51B7">
              <w:rPr>
                <w:rFonts w:ascii="Verdana" w:eastAsia="Times New Roman" w:hAnsi="Verdana" w:cs="Times New Roman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0" w:type="auto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:rsidR="000A51B7" w:rsidRPr="000A51B7" w:rsidRDefault="000A51B7" w:rsidP="000A51B7">
            <w:pPr>
              <w:spacing w:before="32" w:after="32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ZA"/>
              </w:rPr>
            </w:pPr>
            <w:r w:rsidRPr="000A51B7">
              <w:rPr>
                <w:rFonts w:ascii="Verdana" w:eastAsia="Times New Roman" w:hAnsi="Verdana" w:cs="Times New Roman"/>
                <w:sz w:val="20"/>
                <w:szCs w:val="20"/>
                <w:lang w:eastAsia="en-ZA"/>
              </w:rPr>
              <w:t>October 28, 2014</w:t>
            </w:r>
          </w:p>
          <w:p w:rsidR="000A51B7" w:rsidRPr="000A51B7" w:rsidRDefault="000A51B7" w:rsidP="000A51B7">
            <w:pPr>
              <w:spacing w:before="32" w:after="32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ZA"/>
              </w:rPr>
            </w:pPr>
            <w:r w:rsidRPr="000A51B7">
              <w:rPr>
                <w:rFonts w:ascii="Verdana" w:eastAsia="Times New Roman" w:hAnsi="Verdana" w:cs="Times New Roman"/>
                <w:sz w:val="24"/>
                <w:szCs w:val="24"/>
                <w:lang w:eastAsia="en-ZA"/>
              </w:rPr>
              <w:t> </w:t>
            </w:r>
          </w:p>
        </w:tc>
      </w:tr>
      <w:tr w:rsidR="000A51B7" w:rsidRPr="000A51B7" w:rsidTr="000A51B7">
        <w:tc>
          <w:tcPr>
            <w:tcW w:w="0" w:type="auto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:rsidR="000A51B7" w:rsidRPr="000A51B7" w:rsidRDefault="000A51B7" w:rsidP="000A51B7">
            <w:pPr>
              <w:spacing w:before="32" w:after="32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ZA"/>
              </w:rPr>
            </w:pPr>
            <w:r w:rsidRPr="000A51B7">
              <w:rPr>
                <w:rFonts w:ascii="Verdana" w:eastAsia="Times New Roman" w:hAnsi="Verdana" w:cs="Times New Roman"/>
                <w:b/>
                <w:bCs/>
                <w:sz w:val="17"/>
                <w:lang w:eastAsia="en-ZA"/>
              </w:rPr>
              <w:t>Judgment</w:t>
            </w:r>
          </w:p>
          <w:p w:rsidR="000A51B7" w:rsidRPr="000A51B7" w:rsidRDefault="000A51B7" w:rsidP="000A51B7">
            <w:pPr>
              <w:spacing w:before="32" w:after="32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ZA"/>
              </w:rPr>
            </w:pPr>
            <w:r w:rsidRPr="000A51B7">
              <w:rPr>
                <w:rFonts w:ascii="Verdana" w:eastAsia="Times New Roman" w:hAnsi="Verdana" w:cs="Times New Roman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0" w:type="auto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:rsidR="000A51B7" w:rsidRPr="000A51B7" w:rsidRDefault="000A51B7" w:rsidP="000A51B7">
            <w:pPr>
              <w:spacing w:before="32" w:after="32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ZA"/>
              </w:rPr>
            </w:pPr>
            <w:r w:rsidRPr="000A51B7">
              <w:rPr>
                <w:rFonts w:ascii="Verdana" w:eastAsia="Times New Roman" w:hAnsi="Verdana" w:cs="Times New Roman"/>
                <w:sz w:val="20"/>
                <w:szCs w:val="20"/>
                <w:lang w:eastAsia="en-ZA"/>
              </w:rPr>
              <w:t>November 26, 2014</w:t>
            </w:r>
          </w:p>
          <w:p w:rsidR="000A51B7" w:rsidRPr="000A51B7" w:rsidRDefault="000A51B7" w:rsidP="000A51B7">
            <w:pPr>
              <w:spacing w:before="32" w:after="32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ZA"/>
              </w:rPr>
            </w:pPr>
            <w:r w:rsidRPr="000A51B7">
              <w:rPr>
                <w:rFonts w:ascii="Verdana" w:eastAsia="Times New Roman" w:hAnsi="Verdana" w:cs="Times New Roman"/>
                <w:sz w:val="24"/>
                <w:szCs w:val="24"/>
                <w:lang w:eastAsia="en-ZA"/>
              </w:rPr>
              <w:t> </w:t>
            </w:r>
          </w:p>
        </w:tc>
      </w:tr>
      <w:tr w:rsidR="000A51B7" w:rsidRPr="000A51B7" w:rsidTr="000A51B7">
        <w:tc>
          <w:tcPr>
            <w:tcW w:w="0" w:type="auto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:rsidR="000A51B7" w:rsidRPr="000A51B7" w:rsidRDefault="000A51B7" w:rsidP="000A51B7">
            <w:pPr>
              <w:spacing w:before="32" w:after="32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ZA"/>
              </w:rPr>
            </w:pPr>
            <w:r w:rsidRPr="000A51B7">
              <w:rPr>
                <w:rFonts w:ascii="Verdana" w:eastAsia="Times New Roman" w:hAnsi="Verdana" w:cs="Times New Roman"/>
                <w:b/>
                <w:bCs/>
                <w:sz w:val="17"/>
                <w:lang w:eastAsia="en-ZA"/>
              </w:rPr>
              <w:t>Counsel</w:t>
            </w:r>
          </w:p>
          <w:p w:rsidR="000A51B7" w:rsidRPr="000A51B7" w:rsidRDefault="000A51B7" w:rsidP="000A51B7">
            <w:pPr>
              <w:spacing w:before="32" w:after="32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ZA"/>
              </w:rPr>
            </w:pPr>
            <w:r w:rsidRPr="000A51B7">
              <w:rPr>
                <w:rFonts w:ascii="Verdana" w:eastAsia="Times New Roman" w:hAnsi="Verdana" w:cs="Times New Roman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0" w:type="auto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:rsidR="000A51B7" w:rsidRPr="000A51B7" w:rsidRDefault="000A51B7" w:rsidP="000A51B7">
            <w:pPr>
              <w:spacing w:before="32" w:after="32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ZA"/>
              </w:rPr>
            </w:pPr>
            <w:r w:rsidRPr="000A51B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ZA"/>
              </w:rPr>
              <w:t xml:space="preserve">Adv </w:t>
            </w:r>
            <w:proofErr w:type="spellStart"/>
            <w:r w:rsidRPr="000A51B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ZA"/>
              </w:rPr>
              <w:t>Pillay</w:t>
            </w:r>
            <w:proofErr w:type="spellEnd"/>
            <w:r w:rsidRPr="000A51B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ZA"/>
              </w:rPr>
              <w:t xml:space="preserve"> SC</w:t>
            </w:r>
            <w:r w:rsidRPr="000A51B7">
              <w:rPr>
                <w:rFonts w:ascii="Verdana" w:eastAsia="Times New Roman" w:hAnsi="Verdana" w:cs="Times New Roman"/>
                <w:sz w:val="20"/>
                <w:lang w:eastAsia="en-ZA"/>
              </w:rPr>
              <w:t> </w:t>
            </w:r>
            <w:r w:rsidRPr="000A51B7">
              <w:rPr>
                <w:rFonts w:ascii="Verdana" w:eastAsia="Times New Roman" w:hAnsi="Verdana" w:cs="Times New Roman"/>
                <w:sz w:val="20"/>
                <w:szCs w:val="20"/>
                <w:lang w:eastAsia="en-ZA"/>
              </w:rPr>
              <w:t>for the plaintiff.</w:t>
            </w:r>
            <w:r w:rsidRPr="000A51B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ZA"/>
              </w:rPr>
              <w:br/>
              <w:t xml:space="preserve">R </w:t>
            </w:r>
            <w:proofErr w:type="spellStart"/>
            <w:r w:rsidRPr="000A51B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ZA"/>
              </w:rPr>
              <w:t>Latib</w:t>
            </w:r>
            <w:proofErr w:type="spellEnd"/>
            <w:r w:rsidRPr="000A51B7">
              <w:rPr>
                <w:rFonts w:ascii="Verdana" w:eastAsia="Times New Roman" w:hAnsi="Verdana" w:cs="Times New Roman"/>
                <w:sz w:val="20"/>
                <w:lang w:eastAsia="en-ZA"/>
              </w:rPr>
              <w:t> </w:t>
            </w:r>
            <w:r w:rsidRPr="000A51B7">
              <w:rPr>
                <w:rFonts w:ascii="Verdana" w:eastAsia="Times New Roman" w:hAnsi="Verdana" w:cs="Times New Roman"/>
                <w:sz w:val="20"/>
                <w:szCs w:val="20"/>
                <w:lang w:eastAsia="en-ZA"/>
              </w:rPr>
              <w:t>for the defendant.</w:t>
            </w:r>
          </w:p>
          <w:p w:rsidR="000A51B7" w:rsidRPr="000A51B7" w:rsidRDefault="000A51B7" w:rsidP="000A51B7">
            <w:pPr>
              <w:spacing w:before="32" w:after="32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ZA"/>
              </w:rPr>
            </w:pPr>
            <w:r w:rsidRPr="000A51B7">
              <w:rPr>
                <w:rFonts w:ascii="Verdana" w:eastAsia="Times New Roman" w:hAnsi="Verdana" w:cs="Times New Roman"/>
                <w:sz w:val="24"/>
                <w:szCs w:val="24"/>
                <w:lang w:eastAsia="en-ZA"/>
              </w:rPr>
              <w:t> </w:t>
            </w:r>
          </w:p>
        </w:tc>
      </w:tr>
      <w:tr w:rsidR="000A51B7" w:rsidRPr="000A51B7" w:rsidTr="000A51B7">
        <w:tc>
          <w:tcPr>
            <w:tcW w:w="0" w:type="auto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:rsidR="000A51B7" w:rsidRPr="000A51B7" w:rsidRDefault="000A51B7" w:rsidP="000A51B7">
            <w:pPr>
              <w:spacing w:before="32" w:after="32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ZA"/>
              </w:rPr>
            </w:pPr>
            <w:r w:rsidRPr="000A51B7">
              <w:rPr>
                <w:rFonts w:ascii="Verdana" w:eastAsia="Times New Roman" w:hAnsi="Verdana" w:cs="Times New Roman"/>
                <w:b/>
                <w:bCs/>
                <w:sz w:val="17"/>
                <w:lang w:eastAsia="en-ZA"/>
              </w:rPr>
              <w:t>Annotations</w:t>
            </w:r>
          </w:p>
          <w:p w:rsidR="000A51B7" w:rsidRPr="000A51B7" w:rsidRDefault="000A51B7" w:rsidP="000A51B7">
            <w:pPr>
              <w:spacing w:before="32" w:after="32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ZA"/>
              </w:rPr>
            </w:pPr>
            <w:r w:rsidRPr="000A51B7">
              <w:rPr>
                <w:rFonts w:ascii="Verdana" w:eastAsia="Times New Roman" w:hAnsi="Verdana" w:cs="Times New Roman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0" w:type="auto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:rsidR="000A51B7" w:rsidRPr="000A51B7" w:rsidRDefault="000A51B7" w:rsidP="000A51B7">
            <w:pPr>
              <w:spacing w:before="32" w:after="32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ZA"/>
              </w:rPr>
            </w:pPr>
            <w:r w:rsidRPr="000A51B7">
              <w:rPr>
                <w:rFonts w:ascii="Verdana" w:eastAsia="Times New Roman" w:hAnsi="Verdana" w:cs="Times New Roman"/>
                <w:sz w:val="20"/>
                <w:szCs w:val="20"/>
                <w:lang w:eastAsia="en-ZA"/>
              </w:rPr>
              <w:t>Link to Case Annotations</w:t>
            </w:r>
          </w:p>
          <w:p w:rsidR="000A51B7" w:rsidRPr="000A51B7" w:rsidRDefault="000A51B7" w:rsidP="000A51B7">
            <w:pPr>
              <w:spacing w:before="32" w:after="32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ZA"/>
              </w:rPr>
            </w:pPr>
            <w:r w:rsidRPr="000A51B7">
              <w:rPr>
                <w:rFonts w:ascii="Verdana" w:eastAsia="Times New Roman" w:hAnsi="Verdana" w:cs="Times New Roman"/>
                <w:sz w:val="24"/>
                <w:szCs w:val="24"/>
                <w:lang w:eastAsia="en-ZA"/>
              </w:rPr>
              <w:t> </w:t>
            </w:r>
          </w:p>
        </w:tc>
      </w:tr>
    </w:tbl>
    <w:p w:rsidR="000A51B7" w:rsidRPr="000A51B7" w:rsidRDefault="000A51B7" w:rsidP="000A51B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</w:pP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 </w:t>
      </w:r>
    </w:p>
    <w:p w:rsidR="000A51B7" w:rsidRPr="000A51B7" w:rsidRDefault="000A51B7" w:rsidP="000A51B7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en-ZA"/>
        </w:rPr>
      </w:pPr>
      <w:r w:rsidRPr="000A51B7">
        <w:rPr>
          <w:rFonts w:ascii="Verdana" w:eastAsia="Times New Roman" w:hAnsi="Verdana" w:cs="Times New Roman"/>
          <w:color w:val="000000"/>
          <w:sz w:val="13"/>
          <w:lang w:eastAsia="en-ZA"/>
        </w:rPr>
        <w:t>B</w:t>
      </w:r>
    </w:p>
    <w:p w:rsidR="000A51B7" w:rsidRPr="000A51B7" w:rsidRDefault="000A51B7" w:rsidP="000A51B7">
      <w:pPr>
        <w:spacing w:after="24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ZA"/>
        </w:rPr>
      </w:pPr>
      <w:bookmarkStart w:id="0" w:name="LPTOC1"/>
      <w:bookmarkEnd w:id="0"/>
      <w:proofErr w:type="spellStart"/>
      <w:proofErr w:type="gramStart"/>
      <w:r w:rsidRPr="000A51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ZA"/>
        </w:rPr>
        <w:t>Flynote</w:t>
      </w:r>
      <w:proofErr w:type="spellEnd"/>
      <w:r w:rsidRPr="000A51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ZA"/>
        </w:rPr>
        <w:t xml:space="preserve"> :</w:t>
      </w:r>
      <w:proofErr w:type="gramEnd"/>
      <w:r w:rsidRPr="000A51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ZA"/>
        </w:rPr>
        <w:t xml:space="preserve"> </w:t>
      </w:r>
      <w:proofErr w:type="spellStart"/>
      <w:r w:rsidRPr="000A51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ZA"/>
        </w:rPr>
        <w:t>Sleutelwoorde</w:t>
      </w:r>
      <w:proofErr w:type="spellEnd"/>
    </w:p>
    <w:p w:rsidR="000A51B7" w:rsidRDefault="000A51B7" w:rsidP="000A51B7">
      <w:pPr>
        <w:spacing w:after="6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ZA"/>
        </w:rPr>
      </w:pPr>
    </w:p>
    <w:p w:rsidR="000A51B7" w:rsidRPr="000A51B7" w:rsidRDefault="000A51B7" w:rsidP="000A51B7">
      <w:pPr>
        <w:spacing w:after="6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n-ZA"/>
        </w:rPr>
      </w:pPr>
      <w:r w:rsidRPr="000A51B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ZA"/>
        </w:rPr>
        <w:t>Costs</w:t>
      </w:r>
      <w:r w:rsidRPr="000A51B7">
        <w:rPr>
          <w:rFonts w:ascii="Verdana" w:eastAsia="Times New Roman" w:hAnsi="Verdana" w:cs="Times New Roman"/>
          <w:color w:val="000000"/>
          <w:sz w:val="18"/>
          <w:lang w:eastAsia="en-ZA"/>
        </w:rPr>
        <w:t> </w:t>
      </w:r>
      <w:r w:rsidRPr="000A51B7">
        <w:rPr>
          <w:rFonts w:ascii="Verdana" w:eastAsia="Times New Roman" w:hAnsi="Verdana" w:cs="Times New Roman"/>
          <w:color w:val="000000"/>
          <w:sz w:val="18"/>
          <w:szCs w:val="18"/>
          <w:lang w:eastAsia="en-ZA"/>
        </w:rPr>
        <w:t xml:space="preserve">— Costs de </w:t>
      </w:r>
      <w:proofErr w:type="spellStart"/>
      <w:r w:rsidRPr="000A51B7">
        <w:rPr>
          <w:rFonts w:ascii="Verdana" w:eastAsia="Times New Roman" w:hAnsi="Verdana" w:cs="Times New Roman"/>
          <w:color w:val="000000"/>
          <w:sz w:val="18"/>
          <w:szCs w:val="18"/>
          <w:lang w:eastAsia="en-ZA"/>
        </w:rPr>
        <w:t>bonis</w:t>
      </w:r>
      <w:proofErr w:type="spellEnd"/>
      <w:r w:rsidRPr="000A51B7">
        <w:rPr>
          <w:rFonts w:ascii="Verdana" w:eastAsia="Times New Roman" w:hAnsi="Verdana" w:cs="Times New Roman"/>
          <w:color w:val="000000"/>
          <w:sz w:val="18"/>
          <w:szCs w:val="18"/>
          <w:lang w:eastAsia="en-ZA"/>
        </w:rPr>
        <w:t xml:space="preserve"> </w:t>
      </w:r>
      <w:proofErr w:type="spellStart"/>
      <w:r w:rsidRPr="000A51B7">
        <w:rPr>
          <w:rFonts w:ascii="Verdana" w:eastAsia="Times New Roman" w:hAnsi="Verdana" w:cs="Times New Roman"/>
          <w:color w:val="000000"/>
          <w:sz w:val="18"/>
          <w:szCs w:val="18"/>
          <w:lang w:eastAsia="en-ZA"/>
        </w:rPr>
        <w:t>propriis</w:t>
      </w:r>
      <w:proofErr w:type="spellEnd"/>
      <w:r w:rsidRPr="000A51B7">
        <w:rPr>
          <w:rFonts w:ascii="Verdana" w:eastAsia="Times New Roman" w:hAnsi="Verdana" w:cs="Times New Roman"/>
          <w:color w:val="000000"/>
          <w:sz w:val="18"/>
          <w:szCs w:val="18"/>
          <w:lang w:eastAsia="en-ZA"/>
        </w:rPr>
        <w:t xml:space="preserve"> — When to be awarded — Against state attorney and public officials — MEC liable for damages arising from birth of child with disability — Defence of claim unjustified and reckless — Conduct of state employees of such degree of incompetence and indifference that to be</w:t>
      </w:r>
      <w:r w:rsidRPr="000A51B7">
        <w:rPr>
          <w:rFonts w:ascii="Verdana" w:eastAsia="Times New Roman" w:hAnsi="Verdana" w:cs="Times New Roman"/>
          <w:color w:val="000000"/>
          <w:sz w:val="18"/>
          <w:lang w:eastAsia="en-ZA"/>
        </w:rPr>
        <w:t> </w:t>
      </w:r>
      <w:r w:rsidRPr="000A51B7">
        <w:rPr>
          <w:rFonts w:ascii="Verdana" w:eastAsia="Times New Roman" w:hAnsi="Verdana" w:cs="Times New Roman"/>
          <w:color w:val="000000"/>
          <w:sz w:val="13"/>
          <w:lang w:eastAsia="en-ZA"/>
        </w:rPr>
        <w:t>C </w:t>
      </w:r>
      <w:r w:rsidRPr="000A51B7">
        <w:rPr>
          <w:rFonts w:ascii="Verdana" w:eastAsia="Times New Roman" w:hAnsi="Verdana" w:cs="Times New Roman"/>
          <w:color w:val="000000"/>
          <w:sz w:val="18"/>
          <w:szCs w:val="18"/>
          <w:lang w:eastAsia="en-ZA"/>
        </w:rPr>
        <w:t>held personally responsible for portion of costs.</w:t>
      </w:r>
    </w:p>
    <w:p w:rsidR="000A51B7" w:rsidRDefault="000A51B7" w:rsidP="000A51B7">
      <w:pPr>
        <w:spacing w:after="24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ZA"/>
        </w:rPr>
      </w:pPr>
      <w:bookmarkStart w:id="1" w:name="LPTOC2"/>
      <w:bookmarkEnd w:id="1"/>
    </w:p>
    <w:p w:rsidR="000A51B7" w:rsidRPr="000A51B7" w:rsidRDefault="000A51B7" w:rsidP="000A51B7">
      <w:pPr>
        <w:spacing w:after="24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ZA"/>
        </w:rPr>
      </w:pPr>
      <w:proofErr w:type="spellStart"/>
      <w:proofErr w:type="gramStart"/>
      <w:r w:rsidRPr="000A51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ZA"/>
        </w:rPr>
        <w:t>Headnote</w:t>
      </w:r>
      <w:proofErr w:type="spellEnd"/>
      <w:r w:rsidRPr="000A51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ZA"/>
        </w:rPr>
        <w:t xml:space="preserve"> :</w:t>
      </w:r>
      <w:proofErr w:type="gramEnd"/>
      <w:r w:rsidRPr="000A51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ZA"/>
        </w:rPr>
        <w:t xml:space="preserve"> </w:t>
      </w:r>
      <w:proofErr w:type="spellStart"/>
      <w:r w:rsidRPr="000A51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ZA"/>
        </w:rPr>
        <w:t>Kopnota</w:t>
      </w:r>
      <w:proofErr w:type="spellEnd"/>
    </w:p>
    <w:p w:rsidR="000A51B7" w:rsidRPr="000A51B7" w:rsidRDefault="000A51B7" w:rsidP="000A51B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</w:pPr>
      <w:r w:rsidRPr="000A51B7">
        <w:rPr>
          <w:rFonts w:ascii="Verdana" w:eastAsia="Times New Roman" w:hAnsi="Verdana" w:cs="Times New Roman"/>
          <w:color w:val="000000"/>
          <w:sz w:val="13"/>
          <w:lang w:eastAsia="en-ZA"/>
        </w:rPr>
        <w:t>C 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After making an order declaring the Gauteng MEC for Health, the defendant, 100% liable for the plaintiff's damages arising from the birth of her son, with a disability, and ordering her to pay costs, the court issued a rule nisi calling upon her to show cause why she should not be held personally liable</w:t>
      </w:r>
      <w:r w:rsidRPr="000A51B7">
        <w:rPr>
          <w:rFonts w:ascii="Verdana" w:eastAsia="Times New Roman" w:hAnsi="Verdana" w:cs="Times New Roman"/>
          <w:color w:val="000000"/>
          <w:sz w:val="20"/>
          <w:lang w:eastAsia="en-ZA"/>
        </w:rPr>
        <w:t> </w:t>
      </w:r>
      <w:r w:rsidRPr="000A51B7">
        <w:rPr>
          <w:rFonts w:ascii="Verdana" w:eastAsia="Times New Roman" w:hAnsi="Verdana" w:cs="Times New Roman"/>
          <w:color w:val="000000"/>
          <w:sz w:val="13"/>
          <w:lang w:eastAsia="en-ZA"/>
        </w:rPr>
        <w:t>D </w:t>
      </w:r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 xml:space="preserve">de </w:t>
      </w:r>
      <w:proofErr w:type="spellStart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>bonis</w:t>
      </w:r>
      <w:proofErr w:type="spellEnd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 xml:space="preserve"> </w:t>
      </w:r>
      <w:proofErr w:type="spellStart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>propriis</w:t>
      </w:r>
      <w:proofErr w:type="spellEnd"/>
      <w:r w:rsidRPr="000A51B7">
        <w:rPr>
          <w:rFonts w:ascii="Verdana" w:eastAsia="Times New Roman" w:hAnsi="Verdana" w:cs="Times New Roman"/>
          <w:color w:val="000000"/>
          <w:sz w:val="20"/>
          <w:lang w:eastAsia="en-ZA"/>
        </w:rPr>
        <w:t> 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 xml:space="preserve">for costs; alternatively, to identify the responsible officials. When considering confirmation the court focused on the conduct and decision-making of the state attorney and legal advisors from the health department (a </w:t>
      </w:r>
      <w:proofErr w:type="spellStart"/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medicolegal</w:t>
      </w:r>
      <w:proofErr w:type="spellEnd"/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 xml:space="preserve"> advisor and legal administrative officer) identified as having dealt with the claim.</w:t>
      </w:r>
    </w:p>
    <w:p w:rsidR="000A51B7" w:rsidRPr="000A51B7" w:rsidRDefault="000A51B7" w:rsidP="000A51B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</w:pPr>
      <w:r w:rsidRPr="000A51B7">
        <w:rPr>
          <w:rFonts w:ascii="Verdana" w:eastAsia="Times New Roman" w:hAnsi="Verdana" w:cs="Times New Roman"/>
          <w:color w:val="000000"/>
          <w:sz w:val="13"/>
          <w:lang w:eastAsia="en-ZA"/>
        </w:rPr>
        <w:t>E </w:t>
      </w:r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>Held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: Costs</w:t>
      </w:r>
      <w:r w:rsidRPr="000A51B7">
        <w:rPr>
          <w:rFonts w:ascii="Verdana" w:eastAsia="Times New Roman" w:hAnsi="Verdana" w:cs="Times New Roman"/>
          <w:color w:val="000000"/>
          <w:sz w:val="20"/>
          <w:lang w:eastAsia="en-ZA"/>
        </w:rPr>
        <w:t> </w:t>
      </w:r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 xml:space="preserve">de </w:t>
      </w:r>
      <w:proofErr w:type="spellStart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>bonis</w:t>
      </w:r>
      <w:proofErr w:type="spellEnd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 xml:space="preserve"> </w:t>
      </w:r>
      <w:proofErr w:type="spellStart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>propriis</w:t>
      </w:r>
      <w:proofErr w:type="spellEnd"/>
      <w:r w:rsidRPr="000A51B7">
        <w:rPr>
          <w:rFonts w:ascii="Verdana" w:eastAsia="Times New Roman" w:hAnsi="Verdana" w:cs="Times New Roman"/>
          <w:color w:val="000000"/>
          <w:sz w:val="20"/>
          <w:lang w:eastAsia="en-ZA"/>
        </w:rPr>
        <w:t> 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 xml:space="preserve">were only to be awarded in exceptional circumstances and a legal advisor or representative was not to be punished for every mistake or error of interpretation. But there was a limit, and it had been crossed when encountering the degree of indifference and incompetence evidenced in this case. The required exceptional circumstances were present where the three professionals, two lawyers and </w:t>
      </w:r>
      <w:proofErr w:type="spellStart"/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one</w:t>
      </w:r>
      <w:bookmarkStart w:id="2" w:name="LPHit1"/>
      <w:bookmarkEnd w:id="2"/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medical</w:t>
      </w:r>
      <w:proofErr w:type="spellEnd"/>
      <w:r w:rsidRPr="000A51B7">
        <w:rPr>
          <w:rFonts w:ascii="Verdana" w:eastAsia="Times New Roman" w:hAnsi="Verdana" w:cs="Times New Roman"/>
          <w:color w:val="000000"/>
          <w:sz w:val="20"/>
          <w:lang w:eastAsia="en-ZA"/>
        </w:rPr>
        <w:t> </w:t>
      </w:r>
      <w:r w:rsidRPr="000A51B7">
        <w:rPr>
          <w:rFonts w:ascii="Verdana" w:eastAsia="Times New Roman" w:hAnsi="Verdana" w:cs="Times New Roman"/>
          <w:color w:val="000000"/>
          <w:sz w:val="13"/>
          <w:lang w:eastAsia="en-ZA"/>
        </w:rPr>
        <w:t>F 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practitioner —</w:t>
      </w:r>
    </w:p>
    <w:p w:rsidR="000A51B7" w:rsidRPr="000A51B7" w:rsidRDefault="000A51B7" w:rsidP="000A51B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</w:pP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   •   claimed that they considered the merits of the case, despite being unable to do so since they were not in possession of the necessary records;</w:t>
      </w:r>
    </w:p>
    <w:p w:rsidR="000A51B7" w:rsidRPr="000A51B7" w:rsidRDefault="000A51B7" w:rsidP="000A51B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</w:pP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   •   paid no regard to the expert report of the plaintiff;</w:t>
      </w:r>
    </w:p>
    <w:p w:rsidR="000A51B7" w:rsidRPr="000A51B7" w:rsidRDefault="000A51B7" w:rsidP="000A51B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</w:pP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   •   failed to provide their chosen expert with access to the relevant facts;</w:t>
      </w:r>
    </w:p>
    <w:p w:rsidR="000A51B7" w:rsidRPr="000A51B7" w:rsidRDefault="000A51B7" w:rsidP="000A51B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</w:pP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   •   failed to ask their expert to comment on the plaintiff's expert report;</w:t>
      </w:r>
    </w:p>
    <w:p w:rsidR="000A51B7" w:rsidRPr="000A51B7" w:rsidRDefault="000A51B7" w:rsidP="000A51B7">
      <w:pPr>
        <w:spacing w:after="0" w:line="240" w:lineRule="auto"/>
        <w:ind w:hanging="968"/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</w:pPr>
      <w:r w:rsidRPr="000A51B7">
        <w:rPr>
          <w:rFonts w:ascii="Verdana" w:eastAsia="Times New Roman" w:hAnsi="Verdana" w:cs="Times New Roman"/>
          <w:color w:val="000000"/>
          <w:sz w:val="13"/>
          <w:lang w:eastAsia="en-ZA"/>
        </w:rPr>
        <w:t>G 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   •   were content to rely on a one-page report that disclosed no basis for any defence;</w:t>
      </w:r>
    </w:p>
    <w:p w:rsidR="000A51B7" w:rsidRPr="000A51B7" w:rsidRDefault="000A51B7" w:rsidP="000A51B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</w:pP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lastRenderedPageBreak/>
        <w:t>   •   were content to rely on bald, unsubstantiated assertions by the expert;</w:t>
      </w:r>
    </w:p>
    <w:p w:rsidR="000A51B7" w:rsidRPr="000A51B7" w:rsidRDefault="000A51B7" w:rsidP="000A51B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</w:pP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   •   permitted the litigation to continue in circumstances where (1) no defence was exhibited in the report of their expert; (2) no defence was pleaded; (3) no defence was advanced at trial; and (4) they were unaware of any</w:t>
      </w:r>
      <w:r w:rsidRPr="000A51B7">
        <w:rPr>
          <w:rFonts w:ascii="Verdana" w:eastAsia="Times New Roman" w:hAnsi="Verdana" w:cs="Times New Roman"/>
          <w:color w:val="000000"/>
          <w:sz w:val="20"/>
          <w:lang w:eastAsia="en-ZA"/>
        </w:rPr>
        <w:t> </w:t>
      </w:r>
      <w:r w:rsidRPr="000A51B7">
        <w:rPr>
          <w:rFonts w:ascii="Verdana" w:eastAsia="Times New Roman" w:hAnsi="Verdana" w:cs="Times New Roman"/>
          <w:color w:val="000000"/>
          <w:sz w:val="13"/>
          <w:lang w:eastAsia="en-ZA"/>
        </w:rPr>
        <w:t>H 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defence to</w:t>
      </w:r>
      <w:r w:rsidRPr="000A51B7">
        <w:rPr>
          <w:rFonts w:ascii="Verdana" w:eastAsia="Times New Roman" w:hAnsi="Verdana" w:cs="Times New Roman"/>
          <w:color w:val="000000"/>
          <w:sz w:val="20"/>
          <w:lang w:eastAsia="en-ZA"/>
        </w:rPr>
        <w:t> </w:t>
      </w:r>
      <w:bookmarkStart w:id="3" w:name="LPHit2"/>
      <w:bookmarkEnd w:id="3"/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negligence</w:t>
      </w:r>
      <w:r w:rsidRPr="000A51B7">
        <w:rPr>
          <w:rFonts w:ascii="Verdana" w:eastAsia="Times New Roman" w:hAnsi="Verdana" w:cs="Times New Roman"/>
          <w:color w:val="000000"/>
          <w:sz w:val="20"/>
          <w:lang w:eastAsia="en-ZA"/>
        </w:rPr>
        <w:t> 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;</w:t>
      </w:r>
    </w:p>
    <w:p w:rsidR="000A51B7" w:rsidRPr="000A51B7" w:rsidRDefault="000A51B7" w:rsidP="000A51B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</w:pP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   •   were reckless as to the facts of this matter in decision-making; and</w:t>
      </w:r>
    </w:p>
    <w:p w:rsidR="000A51B7" w:rsidRPr="000A51B7" w:rsidRDefault="000A51B7" w:rsidP="000A51B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</w:pP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 xml:space="preserve">   •   had an inert approach to pre-trial litigation. </w:t>
      </w:r>
      <w:proofErr w:type="gramStart"/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(Paragraphs [68], [70] and [72] – [73] at 634E – F, 635B – C and 635D – 636A.)</w:t>
      </w:r>
      <w:proofErr w:type="gramEnd"/>
    </w:p>
    <w:p w:rsidR="000A51B7" w:rsidRPr="000A51B7" w:rsidRDefault="000A51B7" w:rsidP="000A51B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</w:pP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Although such costs orders were drastic measures, the court was faced with</w:t>
      </w:r>
      <w:r w:rsidRPr="000A51B7">
        <w:rPr>
          <w:rFonts w:ascii="Verdana" w:eastAsia="Times New Roman" w:hAnsi="Verdana" w:cs="Times New Roman"/>
          <w:color w:val="000000"/>
          <w:sz w:val="20"/>
          <w:lang w:eastAsia="en-ZA"/>
        </w:rPr>
        <w:t> </w:t>
      </w:r>
      <w:r w:rsidRPr="000A51B7">
        <w:rPr>
          <w:rFonts w:ascii="Verdana" w:eastAsia="Times New Roman" w:hAnsi="Verdana" w:cs="Times New Roman"/>
          <w:color w:val="000000"/>
          <w:sz w:val="13"/>
          <w:lang w:eastAsia="en-ZA"/>
        </w:rPr>
        <w:t>I 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state employees who simply could not be bothered to do their work. Recent authorities dealing with the conduct of public officials revealed that shaming them no longer worked — even the exhortations of the highest court fell on deaf ears.</w:t>
      </w:r>
    </w:p>
    <w:p w:rsidR="000A51B7" w:rsidRPr="000A51B7" w:rsidRDefault="000A51B7" w:rsidP="000A51B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</w:pP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Accordingly the rule was confirmed and the responsible officials ordered to pay</w:t>
      </w:r>
      <w:r w:rsidRPr="000A51B7">
        <w:rPr>
          <w:rFonts w:ascii="Verdana" w:eastAsia="Times New Roman" w:hAnsi="Verdana" w:cs="Times New Roman"/>
          <w:color w:val="000000"/>
          <w:sz w:val="20"/>
          <w:lang w:eastAsia="en-ZA"/>
        </w:rPr>
        <w:t> </w:t>
      </w:r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 xml:space="preserve">de </w:t>
      </w:r>
      <w:proofErr w:type="spellStart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>bonis</w:t>
      </w:r>
      <w:proofErr w:type="spellEnd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 xml:space="preserve"> </w:t>
      </w:r>
      <w:proofErr w:type="spellStart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>propriis</w:t>
      </w:r>
      <w:proofErr w:type="spellEnd"/>
      <w:r w:rsidRPr="000A51B7">
        <w:rPr>
          <w:rFonts w:ascii="Verdana" w:eastAsia="Times New Roman" w:hAnsi="Verdana" w:cs="Times New Roman"/>
          <w:color w:val="000000"/>
          <w:sz w:val="20"/>
          <w:lang w:eastAsia="en-ZA"/>
        </w:rPr>
        <w:t> 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50% of costs jointly and severally with defendant on</w:t>
      </w:r>
      <w:r w:rsidRPr="000A51B7">
        <w:rPr>
          <w:rFonts w:ascii="Verdana" w:eastAsia="Times New Roman" w:hAnsi="Verdana" w:cs="Times New Roman"/>
          <w:color w:val="000000"/>
          <w:sz w:val="20"/>
          <w:lang w:eastAsia="en-ZA"/>
        </w:rPr>
        <w:t> </w:t>
      </w:r>
      <w:r w:rsidRPr="000A51B7">
        <w:rPr>
          <w:rFonts w:ascii="Verdana" w:eastAsia="Times New Roman" w:hAnsi="Verdana" w:cs="Times New Roman"/>
          <w:color w:val="000000"/>
          <w:sz w:val="13"/>
          <w:lang w:eastAsia="en-ZA"/>
        </w:rPr>
        <w:t>J 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attorney and client scale. A copy of the judgment was forwarded to the</w:t>
      </w:r>
    </w:p>
    <w:p w:rsidR="000A51B7" w:rsidRPr="000A51B7" w:rsidRDefault="000A51B7" w:rsidP="000A51B7">
      <w:pPr>
        <w:spacing w:after="24" w:line="240" w:lineRule="auto"/>
        <w:jc w:val="right"/>
        <w:rPr>
          <w:rFonts w:ascii="Verdana" w:eastAsia="Times New Roman" w:hAnsi="Verdana" w:cs="Times New Roman"/>
          <w:b/>
          <w:bCs/>
          <w:color w:val="808080"/>
          <w:sz w:val="16"/>
          <w:szCs w:val="16"/>
          <w:lang w:eastAsia="en-ZA"/>
        </w:rPr>
      </w:pPr>
      <w:r w:rsidRPr="000A51B7">
        <w:rPr>
          <w:rFonts w:ascii="Verdana" w:eastAsia="Times New Roman" w:hAnsi="Verdana" w:cs="Times New Roman"/>
          <w:b/>
          <w:bCs/>
          <w:color w:val="808080"/>
          <w:sz w:val="16"/>
          <w:szCs w:val="16"/>
          <w:lang w:eastAsia="en-ZA"/>
        </w:rPr>
        <w:t>2015 (3) SA p617</w:t>
      </w:r>
    </w:p>
    <w:p w:rsidR="000A51B7" w:rsidRPr="000A51B7" w:rsidRDefault="000A51B7" w:rsidP="000A51B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</w:pPr>
      <w:proofErr w:type="gramStart"/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relevant</w:t>
      </w:r>
      <w:proofErr w:type="gramEnd"/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 xml:space="preserve"> Law Society for further action as it deemed fit. The MEC was</w:t>
      </w:r>
      <w:r w:rsidRPr="000A51B7">
        <w:rPr>
          <w:rFonts w:ascii="Verdana" w:eastAsia="Times New Roman" w:hAnsi="Verdana" w:cs="Times New Roman"/>
          <w:color w:val="000000"/>
          <w:sz w:val="20"/>
          <w:lang w:eastAsia="en-ZA"/>
        </w:rPr>
        <w:t> </w:t>
      </w:r>
      <w:r w:rsidRPr="000A51B7">
        <w:rPr>
          <w:rFonts w:ascii="Verdana" w:eastAsia="Times New Roman" w:hAnsi="Verdana" w:cs="Times New Roman"/>
          <w:color w:val="000000"/>
          <w:sz w:val="13"/>
          <w:lang w:eastAsia="en-ZA"/>
        </w:rPr>
        <w:t>A 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 xml:space="preserve">discharged from personal liability. </w:t>
      </w:r>
      <w:proofErr w:type="gramStart"/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(Paragraphs [71], [90] and [102] at 635D – H, 640E – F and 649F – I.)</w:t>
      </w:r>
      <w:proofErr w:type="gramEnd"/>
    </w:p>
    <w:p w:rsidR="000A51B7" w:rsidRPr="000A51B7" w:rsidRDefault="000A51B7" w:rsidP="000A51B7">
      <w:pPr>
        <w:spacing w:after="24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ZA"/>
        </w:rPr>
      </w:pPr>
      <w:bookmarkStart w:id="4" w:name="LPTOC3"/>
      <w:bookmarkEnd w:id="4"/>
      <w:r w:rsidRPr="000A51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ZA"/>
        </w:rPr>
        <w:t>Cases Considered</w:t>
      </w:r>
    </w:p>
    <w:p w:rsidR="000A51B7" w:rsidRPr="000A51B7" w:rsidRDefault="000A51B7" w:rsidP="000A5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br/>
      </w:r>
      <w:r w:rsidRPr="000A51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ZA"/>
        </w:rPr>
        <w:t>Annotations</w:t>
      </w:r>
    </w:p>
    <w:p w:rsidR="000A51B7" w:rsidRPr="000A51B7" w:rsidRDefault="000A51B7" w:rsidP="000A51B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</w:pP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Case law</w:t>
      </w:r>
      <w:r w:rsidRPr="000A51B7">
        <w:rPr>
          <w:rFonts w:ascii="Verdana" w:eastAsia="Times New Roman" w:hAnsi="Verdana" w:cs="Times New Roman"/>
          <w:color w:val="000000"/>
          <w:sz w:val="20"/>
          <w:lang w:eastAsia="en-ZA"/>
        </w:rPr>
        <w:t> </w:t>
      </w:r>
      <w:r w:rsidRPr="000A51B7">
        <w:rPr>
          <w:rFonts w:ascii="Verdana" w:eastAsia="Times New Roman" w:hAnsi="Verdana" w:cs="Times New Roman"/>
          <w:color w:val="000000"/>
          <w:sz w:val="13"/>
          <w:lang w:eastAsia="en-ZA"/>
        </w:rPr>
        <w:t>B</w:t>
      </w:r>
    </w:p>
    <w:p w:rsidR="000A51B7" w:rsidRPr="000A51B7" w:rsidRDefault="000A51B7" w:rsidP="000A5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br/>
      </w:r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>Absa Bank and Others v Robb</w:t>
      </w:r>
      <w:hyperlink r:id="rId4" w:tgtFrame="main" w:history="1">
        <w:r w:rsidRPr="000A51B7">
          <w:rPr>
            <w:rFonts w:ascii="Verdana" w:eastAsia="Times New Roman" w:hAnsi="Verdana" w:cs="Times New Roman"/>
            <w:color w:val="0066FF"/>
            <w:sz w:val="20"/>
            <w:u w:val="single"/>
            <w:lang w:eastAsia="en-ZA"/>
          </w:rPr>
          <w:t>2013 (3) SA 619 (GSJ)</w:t>
        </w:r>
      </w:hyperlink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: referred to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br/>
      </w:r>
      <w:proofErr w:type="spellStart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>Coetzeestroom</w:t>
      </w:r>
      <w:proofErr w:type="spellEnd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 xml:space="preserve"> Estate and GM Co v Registrar of Deeds</w:t>
      </w:r>
      <w:r w:rsidRPr="000A51B7">
        <w:rPr>
          <w:rFonts w:ascii="Verdana" w:eastAsia="Times New Roman" w:hAnsi="Verdana" w:cs="Times New Roman"/>
          <w:color w:val="000000"/>
          <w:sz w:val="20"/>
          <w:lang w:eastAsia="en-ZA"/>
        </w:rPr>
        <w:t> 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1902 TS 216: distinguished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br/>
      </w:r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 xml:space="preserve">Coopers (South Africa) (Pty) Ltd v Deutsche </w:t>
      </w:r>
      <w:proofErr w:type="spellStart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>Gesellschaft</w:t>
      </w:r>
      <w:proofErr w:type="spellEnd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 xml:space="preserve"> </w:t>
      </w:r>
      <w:proofErr w:type="spellStart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>für</w:t>
      </w:r>
      <w:proofErr w:type="spellEnd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 xml:space="preserve"> </w:t>
      </w:r>
      <w:proofErr w:type="spellStart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>Schädlingsbekämpfung</w:t>
      </w:r>
      <w:proofErr w:type="spellEnd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 xml:space="preserve"> mbH</w:t>
      </w:r>
      <w:hyperlink r:id="rId5" w:tgtFrame="main" w:history="1">
        <w:r w:rsidRPr="000A51B7">
          <w:rPr>
            <w:rFonts w:ascii="Verdana" w:eastAsia="Times New Roman" w:hAnsi="Verdana" w:cs="Times New Roman"/>
            <w:color w:val="0066FF"/>
            <w:sz w:val="20"/>
            <w:u w:val="single"/>
            <w:lang w:eastAsia="en-ZA"/>
          </w:rPr>
          <w:t>1976 (3) SA 352 (A)</w:t>
        </w:r>
      </w:hyperlink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: considered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br/>
      </w:r>
      <w:proofErr w:type="spellStart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>Jaftha</w:t>
      </w:r>
      <w:proofErr w:type="spellEnd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 xml:space="preserve"> v </w:t>
      </w:r>
      <w:proofErr w:type="spellStart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>Schoeman</w:t>
      </w:r>
      <w:proofErr w:type="spellEnd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 xml:space="preserve"> and Others; Van </w:t>
      </w:r>
      <w:proofErr w:type="spellStart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>Rooyen</w:t>
      </w:r>
      <w:proofErr w:type="spellEnd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 xml:space="preserve"> v </w:t>
      </w:r>
      <w:proofErr w:type="spellStart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>Stoltz</w:t>
      </w:r>
      <w:proofErr w:type="spellEnd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 xml:space="preserve"> and Others</w:t>
      </w:r>
      <w:r w:rsidRPr="000A51B7">
        <w:rPr>
          <w:rFonts w:ascii="Verdana" w:eastAsia="Times New Roman" w:hAnsi="Verdana" w:cs="Times New Roman"/>
          <w:i/>
          <w:iCs/>
          <w:color w:val="000000"/>
          <w:sz w:val="20"/>
          <w:lang w:eastAsia="en-ZA"/>
        </w:rPr>
        <w:t> </w:t>
      </w:r>
      <w:r w:rsidRPr="000A51B7">
        <w:rPr>
          <w:rFonts w:ascii="Verdana" w:eastAsia="Times New Roman" w:hAnsi="Verdana" w:cs="Times New Roman"/>
          <w:color w:val="000000"/>
          <w:sz w:val="13"/>
          <w:lang w:eastAsia="en-ZA"/>
        </w:rPr>
        <w:t>C 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2003 (10) BCLR 1149 (C): referred to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br/>
      </w:r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>Kate v MEC for the Department of Welfare, Eastern Cape</w:t>
      </w:r>
      <w:hyperlink r:id="rId6" w:tgtFrame="main" w:history="1">
        <w:r w:rsidRPr="000A51B7">
          <w:rPr>
            <w:rFonts w:ascii="Verdana" w:eastAsia="Times New Roman" w:hAnsi="Verdana" w:cs="Times New Roman"/>
            <w:color w:val="0066FF"/>
            <w:sz w:val="20"/>
            <w:u w:val="single"/>
            <w:lang w:eastAsia="en-ZA"/>
          </w:rPr>
          <w:t>2005 (1) SA 141 (SE)</w:t>
        </w:r>
      </w:hyperlink>
      <w:r w:rsidRPr="000A51B7">
        <w:rPr>
          <w:rFonts w:ascii="Verdana" w:eastAsia="Times New Roman" w:hAnsi="Verdana" w:cs="Times New Roman"/>
          <w:color w:val="000000"/>
          <w:sz w:val="20"/>
          <w:lang w:eastAsia="en-ZA"/>
        </w:rPr>
        <w:t> 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([2005] 1 All SA 745): considered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br/>
      </w:r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>Knight v Findlay</w:t>
      </w:r>
      <w:r w:rsidRPr="000A51B7">
        <w:rPr>
          <w:rFonts w:ascii="Verdana" w:eastAsia="Times New Roman" w:hAnsi="Verdana" w:cs="Times New Roman"/>
          <w:color w:val="000000"/>
          <w:sz w:val="20"/>
          <w:lang w:eastAsia="en-ZA"/>
        </w:rPr>
        <w:t> 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1934 NPD 185: referred to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br/>
      </w:r>
      <w:proofErr w:type="spellStart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>Kriel</w:t>
      </w:r>
      <w:proofErr w:type="spellEnd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 xml:space="preserve"> v Bowels</w:t>
      </w:r>
      <w:hyperlink r:id="rId7" w:tgtFrame="main" w:history="1">
        <w:r w:rsidRPr="000A51B7">
          <w:rPr>
            <w:rFonts w:ascii="Verdana" w:eastAsia="Times New Roman" w:hAnsi="Verdana" w:cs="Times New Roman"/>
            <w:color w:val="0066FF"/>
            <w:sz w:val="20"/>
            <w:u w:val="single"/>
            <w:lang w:eastAsia="en-ZA"/>
          </w:rPr>
          <w:t>2012 (2) SA 45 (ECP)</w:t>
        </w:r>
      </w:hyperlink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: considered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br/>
      </w:r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>Lin and Another v Minister of Home Affairs and Others</w:t>
      </w:r>
      <w:r w:rsidRPr="000A51B7">
        <w:rPr>
          <w:rFonts w:ascii="Verdana" w:eastAsia="Times New Roman" w:hAnsi="Verdana" w:cs="Times New Roman"/>
          <w:color w:val="000000"/>
          <w:sz w:val="20"/>
          <w:lang w:eastAsia="en-ZA"/>
        </w:rPr>
        <w:t> 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(GJ case No 2014/22434,</w:t>
      </w:r>
      <w:r w:rsidRPr="000A51B7">
        <w:rPr>
          <w:rFonts w:ascii="Verdana" w:eastAsia="Times New Roman" w:hAnsi="Verdana" w:cs="Times New Roman"/>
          <w:color w:val="000000"/>
          <w:sz w:val="20"/>
          <w:lang w:eastAsia="en-ZA"/>
        </w:rPr>
        <w:t> </w:t>
      </w:r>
      <w:r w:rsidRPr="000A51B7">
        <w:rPr>
          <w:rFonts w:ascii="Verdana" w:eastAsia="Times New Roman" w:hAnsi="Verdana" w:cs="Times New Roman"/>
          <w:color w:val="000000"/>
          <w:sz w:val="13"/>
          <w:lang w:eastAsia="en-ZA"/>
        </w:rPr>
        <w:t>D 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18 November 2014): referred to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br/>
      </w:r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 xml:space="preserve">MEC for Roads and Public Works, Eastern Cape and Another v </w:t>
      </w:r>
      <w:proofErr w:type="spellStart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>Intertrade</w:t>
      </w:r>
      <w:proofErr w:type="spellEnd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 xml:space="preserve"> Two (Pty) Ltd</w:t>
      </w:r>
      <w:hyperlink r:id="rId8" w:tgtFrame="main" w:history="1">
        <w:r w:rsidRPr="000A51B7">
          <w:rPr>
            <w:rFonts w:ascii="Verdana" w:eastAsia="Times New Roman" w:hAnsi="Verdana" w:cs="Times New Roman"/>
            <w:color w:val="0066FF"/>
            <w:sz w:val="20"/>
            <w:u w:val="single"/>
            <w:lang w:eastAsia="en-ZA"/>
          </w:rPr>
          <w:t>2006 (5) SA 1 (SCA)</w:t>
        </w:r>
      </w:hyperlink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: referred to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br/>
      </w:r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 xml:space="preserve">MEC for Roads and Transport and Others v </w:t>
      </w:r>
      <w:proofErr w:type="spellStart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>Umso</w:t>
      </w:r>
      <w:proofErr w:type="spellEnd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 xml:space="preserve"> Construction (Pty) Ltd</w:t>
      </w:r>
      <w:r w:rsidRPr="000A51B7">
        <w:rPr>
          <w:rFonts w:ascii="Verdana" w:eastAsia="Times New Roman" w:hAnsi="Verdana" w:cs="Times New Roman"/>
          <w:color w:val="000000"/>
          <w:sz w:val="20"/>
          <w:lang w:eastAsia="en-ZA"/>
        </w:rPr>
        <w:t> 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(Ck case No 2034/05): referred to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br/>
      </w:r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 xml:space="preserve">Minister of Rural Development and Land Reform v </w:t>
      </w:r>
      <w:proofErr w:type="spellStart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>Griffo</w:t>
      </w:r>
      <w:proofErr w:type="spellEnd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 xml:space="preserve"> Trading CC:</w:t>
      </w:r>
      <w:r w:rsidRPr="000A51B7">
        <w:rPr>
          <w:rFonts w:ascii="Verdana" w:eastAsia="Times New Roman" w:hAnsi="Verdana" w:cs="Times New Roman"/>
          <w:i/>
          <w:iCs/>
          <w:color w:val="000000"/>
          <w:sz w:val="20"/>
          <w:lang w:eastAsia="en-ZA"/>
        </w:rPr>
        <w:t> </w:t>
      </w:r>
      <w:r w:rsidRPr="000A51B7">
        <w:rPr>
          <w:rFonts w:ascii="Verdana" w:eastAsia="Times New Roman" w:hAnsi="Verdana" w:cs="Times New Roman"/>
          <w:color w:val="000000"/>
          <w:sz w:val="13"/>
          <w:lang w:eastAsia="en-ZA"/>
        </w:rPr>
        <w:t>E </w:t>
      </w:r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 xml:space="preserve">In re </w:t>
      </w:r>
      <w:proofErr w:type="spellStart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>Griffo</w:t>
      </w:r>
      <w:proofErr w:type="spellEnd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 xml:space="preserve"> Trading CC v Minister of Rural Development and Land Reform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[2014] ZAGPPHC 666: considered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br/>
      </w:r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>Minister of Safety and Security v G4S International UK Ltd and Others</w:t>
      </w:r>
      <w:r w:rsidRPr="000A51B7">
        <w:rPr>
          <w:rFonts w:ascii="Verdana" w:eastAsia="Times New Roman" w:hAnsi="Verdana" w:cs="Times New Roman"/>
          <w:color w:val="000000"/>
          <w:sz w:val="20"/>
          <w:lang w:eastAsia="en-ZA"/>
        </w:rPr>
        <w:t> 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(GJ case No 07/12735, 30 March 2012): referred to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br/>
      </w:r>
      <w:proofErr w:type="spellStart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>Mlatsheni</w:t>
      </w:r>
      <w:proofErr w:type="spellEnd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 xml:space="preserve"> v Road Accident Fund</w:t>
      </w:r>
      <w:hyperlink r:id="rId9" w:tgtFrame="main" w:history="1">
        <w:r w:rsidRPr="000A51B7">
          <w:rPr>
            <w:rFonts w:ascii="Verdana" w:eastAsia="Times New Roman" w:hAnsi="Verdana" w:cs="Times New Roman"/>
            <w:color w:val="0066FF"/>
            <w:sz w:val="20"/>
            <w:u w:val="single"/>
            <w:lang w:eastAsia="en-ZA"/>
          </w:rPr>
          <w:t>2009 (2) SA 401 (E)</w:t>
        </w:r>
      </w:hyperlink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: considered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br/>
      </w:r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>Multi-Links Telecommunications Ltd v Africa Prepaid Services Nigeria Ltd</w:t>
      </w:r>
      <w:r w:rsidRPr="000A51B7">
        <w:rPr>
          <w:rFonts w:ascii="Verdana" w:eastAsia="Times New Roman" w:hAnsi="Verdana" w:cs="Times New Roman"/>
          <w:color w:val="000000"/>
          <w:sz w:val="13"/>
          <w:lang w:eastAsia="en-ZA"/>
        </w:rPr>
        <w:t> F </w:t>
      </w:r>
      <w:hyperlink r:id="rId10" w:tgtFrame="main" w:history="1">
        <w:r w:rsidRPr="000A51B7">
          <w:rPr>
            <w:rFonts w:ascii="Verdana" w:eastAsia="Times New Roman" w:hAnsi="Verdana" w:cs="Times New Roman"/>
            <w:color w:val="0066FF"/>
            <w:sz w:val="20"/>
            <w:u w:val="single"/>
            <w:lang w:eastAsia="en-ZA"/>
          </w:rPr>
          <w:t>2014 (3) SA 265 (GP)</w:t>
        </w:r>
      </w:hyperlink>
      <w:r w:rsidRPr="000A51B7">
        <w:rPr>
          <w:rFonts w:ascii="Verdana" w:eastAsia="Times New Roman" w:hAnsi="Verdana" w:cs="Times New Roman"/>
          <w:color w:val="000000"/>
          <w:sz w:val="20"/>
          <w:lang w:eastAsia="en-ZA"/>
        </w:rPr>
        <w:t> 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 xml:space="preserve">([2013] 4 All SA 346): dictum in </w:t>
      </w:r>
      <w:proofErr w:type="spellStart"/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para</w:t>
      </w:r>
      <w:proofErr w:type="spellEnd"/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 xml:space="preserve"> [35] applied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br/>
      </w:r>
      <w:proofErr w:type="spellStart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>Njongi</w:t>
      </w:r>
      <w:proofErr w:type="spellEnd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 xml:space="preserve"> v MEC, Department of Welfare, Eastern Cape</w:t>
      </w:r>
      <w:hyperlink r:id="rId11" w:tgtFrame="main" w:history="1">
        <w:r w:rsidRPr="000A51B7">
          <w:rPr>
            <w:rFonts w:ascii="Verdana" w:eastAsia="Times New Roman" w:hAnsi="Verdana" w:cs="Times New Roman"/>
            <w:color w:val="0066FF"/>
            <w:sz w:val="20"/>
            <w:u w:val="single"/>
            <w:lang w:eastAsia="en-ZA"/>
          </w:rPr>
          <w:t>2008 (4) SA 237 (CC)</w:t>
        </w:r>
      </w:hyperlink>
      <w:r w:rsidRPr="000A51B7">
        <w:rPr>
          <w:rFonts w:ascii="Verdana" w:eastAsia="Times New Roman" w:hAnsi="Verdana" w:cs="Times New Roman"/>
          <w:color w:val="000000"/>
          <w:sz w:val="20"/>
          <w:lang w:eastAsia="en-ZA"/>
        </w:rPr>
        <w:t> 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(2008 (6) BCLR 571; [2008] ZACC 4): considered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br/>
      </w:r>
      <w:proofErr w:type="spellStart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>Nyathi</w:t>
      </w:r>
      <w:proofErr w:type="spellEnd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 xml:space="preserve"> v Member of the Executive Council for the Department of Health, Gauteng and Others</w:t>
      </w:r>
      <w:hyperlink r:id="rId12" w:tgtFrame="main" w:history="1">
        <w:r w:rsidRPr="000A51B7">
          <w:rPr>
            <w:rFonts w:ascii="Verdana" w:eastAsia="Times New Roman" w:hAnsi="Verdana" w:cs="Times New Roman"/>
            <w:color w:val="0066FF"/>
            <w:sz w:val="20"/>
            <w:u w:val="single"/>
            <w:lang w:eastAsia="en-ZA"/>
          </w:rPr>
          <w:t>2008 (5) SA 94 (CC)</w:t>
        </w:r>
      </w:hyperlink>
      <w:r w:rsidRPr="000A51B7">
        <w:rPr>
          <w:rFonts w:ascii="Verdana" w:eastAsia="Times New Roman" w:hAnsi="Verdana" w:cs="Times New Roman"/>
          <w:color w:val="000000"/>
          <w:sz w:val="20"/>
          <w:lang w:eastAsia="en-ZA"/>
        </w:rPr>
        <w:t> 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(2008 (9) BCLR 865):</w:t>
      </w:r>
      <w:r w:rsidRPr="000A51B7">
        <w:rPr>
          <w:rFonts w:ascii="Verdana" w:eastAsia="Times New Roman" w:hAnsi="Verdana" w:cs="Times New Roman"/>
          <w:color w:val="000000"/>
          <w:sz w:val="20"/>
          <w:lang w:eastAsia="en-ZA"/>
        </w:rPr>
        <w:t> </w:t>
      </w:r>
      <w:proofErr w:type="spellStart"/>
      <w:r w:rsidRPr="000A51B7">
        <w:rPr>
          <w:rFonts w:ascii="Verdana" w:eastAsia="Times New Roman" w:hAnsi="Verdana" w:cs="Times New Roman"/>
          <w:color w:val="000000"/>
          <w:sz w:val="13"/>
          <w:lang w:eastAsia="en-ZA"/>
        </w:rPr>
        <w:t>G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considered</w:t>
      </w:r>
      <w:proofErr w:type="spellEnd"/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br/>
      </w:r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 xml:space="preserve">Permanent Secretary, Department of Welfare, Eastern Cape, and Another v </w:t>
      </w:r>
      <w:proofErr w:type="spellStart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>Ngxuzaand</w:t>
      </w:r>
      <w:proofErr w:type="spellEnd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 xml:space="preserve"> Others</w:t>
      </w:r>
      <w:hyperlink r:id="rId13" w:tgtFrame="main" w:history="1">
        <w:r w:rsidRPr="000A51B7">
          <w:rPr>
            <w:rFonts w:ascii="Verdana" w:eastAsia="Times New Roman" w:hAnsi="Verdana" w:cs="Times New Roman"/>
            <w:color w:val="0066FF"/>
            <w:sz w:val="20"/>
            <w:u w:val="single"/>
            <w:lang w:eastAsia="en-ZA"/>
          </w:rPr>
          <w:t>2001 (4) SA 1184 (SCA)</w:t>
        </w:r>
      </w:hyperlink>
      <w:r w:rsidRPr="000A51B7">
        <w:rPr>
          <w:rFonts w:ascii="Verdana" w:eastAsia="Times New Roman" w:hAnsi="Verdana" w:cs="Times New Roman"/>
          <w:color w:val="000000"/>
          <w:sz w:val="20"/>
          <w:lang w:eastAsia="en-ZA"/>
        </w:rPr>
        <w:t> 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(2001 (10) BCLR 1039): considered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br/>
      </w:r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>Port Elizabeth Local Road Transportation Board and Others v Liesing</w:t>
      </w:r>
      <w:hyperlink r:id="rId14" w:tgtFrame="main" w:history="1">
        <w:r w:rsidRPr="000A51B7">
          <w:rPr>
            <w:rFonts w:ascii="Verdana" w:eastAsia="Times New Roman" w:hAnsi="Verdana" w:cs="Times New Roman"/>
            <w:color w:val="0066FF"/>
            <w:sz w:val="20"/>
            <w:u w:val="single"/>
            <w:lang w:eastAsia="en-ZA"/>
          </w:rPr>
          <w:t>1968 (4) SA 401 (E)</w:t>
        </w:r>
      </w:hyperlink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: considered</w:t>
      </w:r>
      <w:r w:rsidRPr="000A51B7">
        <w:rPr>
          <w:rFonts w:ascii="Verdana" w:eastAsia="Times New Roman" w:hAnsi="Verdana" w:cs="Times New Roman"/>
          <w:color w:val="000000"/>
          <w:sz w:val="20"/>
          <w:lang w:eastAsia="en-ZA"/>
        </w:rPr>
        <w:t> </w:t>
      </w:r>
      <w:r w:rsidRPr="000A51B7">
        <w:rPr>
          <w:rFonts w:ascii="Verdana" w:eastAsia="Times New Roman" w:hAnsi="Verdana" w:cs="Times New Roman"/>
          <w:color w:val="000000"/>
          <w:sz w:val="13"/>
          <w:lang w:eastAsia="en-ZA"/>
        </w:rPr>
        <w:t>H 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br/>
      </w:r>
      <w:proofErr w:type="spellStart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>Quinella</w:t>
      </w:r>
      <w:proofErr w:type="spellEnd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 xml:space="preserve"> Trading (Pty) Ltd and Others v Minister of Rural Development and Others</w:t>
      </w:r>
      <w:hyperlink r:id="rId15" w:tgtFrame="main" w:history="1">
        <w:r w:rsidRPr="000A51B7">
          <w:rPr>
            <w:rFonts w:ascii="Verdana" w:eastAsia="Times New Roman" w:hAnsi="Verdana" w:cs="Times New Roman"/>
            <w:color w:val="0066FF"/>
            <w:sz w:val="20"/>
            <w:u w:val="single"/>
            <w:lang w:eastAsia="en-ZA"/>
          </w:rPr>
          <w:t>2010 (4) SA 308 (LCC)</w:t>
        </w:r>
      </w:hyperlink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: considered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br/>
      </w:r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>S v Z and 23 Similar Cases (No 2)</w:t>
      </w:r>
      <w:r w:rsidRPr="000A51B7">
        <w:rPr>
          <w:rFonts w:ascii="Verdana" w:eastAsia="Times New Roman" w:hAnsi="Verdana" w:cs="Times New Roman"/>
          <w:color w:val="000000"/>
          <w:sz w:val="20"/>
          <w:lang w:eastAsia="en-ZA"/>
        </w:rPr>
        <w:t> 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2004 (2) SACR 410 (E): referred to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br/>
      </w:r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lastRenderedPageBreak/>
        <w:t>South African Liquor Traders Association and Others v Chairperson, Gauteng Liquor Board, and Others</w:t>
      </w:r>
      <w:hyperlink r:id="rId16" w:tgtFrame="main" w:history="1">
        <w:r w:rsidRPr="000A51B7">
          <w:rPr>
            <w:rFonts w:ascii="Verdana" w:eastAsia="Times New Roman" w:hAnsi="Verdana" w:cs="Times New Roman"/>
            <w:color w:val="0066FF"/>
            <w:sz w:val="20"/>
            <w:u w:val="single"/>
            <w:lang w:eastAsia="en-ZA"/>
          </w:rPr>
          <w:t>2009 (1) SA 565 (CC)</w:t>
        </w:r>
      </w:hyperlink>
      <w:r w:rsidRPr="000A51B7">
        <w:rPr>
          <w:rFonts w:ascii="Verdana" w:eastAsia="Times New Roman" w:hAnsi="Verdana" w:cs="Times New Roman"/>
          <w:color w:val="000000"/>
          <w:sz w:val="20"/>
          <w:lang w:eastAsia="en-ZA"/>
        </w:rPr>
        <w:t> 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(2006 (8) BCLR 901; [2006] ZACC 7): considered</w:t>
      </w:r>
      <w:r w:rsidRPr="000A51B7">
        <w:rPr>
          <w:rFonts w:ascii="Verdana" w:eastAsia="Times New Roman" w:hAnsi="Verdana" w:cs="Times New Roman"/>
          <w:color w:val="000000"/>
          <w:sz w:val="20"/>
          <w:lang w:eastAsia="en-ZA"/>
        </w:rPr>
        <w:t> </w:t>
      </w:r>
      <w:r w:rsidRPr="000A51B7">
        <w:rPr>
          <w:rFonts w:ascii="Verdana" w:eastAsia="Times New Roman" w:hAnsi="Verdana" w:cs="Times New Roman"/>
          <w:color w:val="000000"/>
          <w:sz w:val="13"/>
          <w:lang w:eastAsia="en-ZA"/>
        </w:rPr>
        <w:t>I 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br/>
      </w:r>
      <w:proofErr w:type="spellStart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>Tasima</w:t>
      </w:r>
      <w:proofErr w:type="spellEnd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 xml:space="preserve"> (Pty) Ltd v Department of Transport and Others</w:t>
      </w:r>
      <w:hyperlink r:id="rId17" w:tgtFrame="main" w:history="1">
        <w:r w:rsidRPr="000A51B7">
          <w:rPr>
            <w:rFonts w:ascii="Verdana" w:eastAsia="Times New Roman" w:hAnsi="Verdana" w:cs="Times New Roman"/>
            <w:color w:val="0066FF"/>
            <w:sz w:val="20"/>
            <w:u w:val="single"/>
            <w:lang w:eastAsia="en-ZA"/>
          </w:rPr>
          <w:t>2013 (4) SA 134 (GNP)</w:t>
        </w:r>
      </w:hyperlink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: considered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br/>
      </w:r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>Thunder Cats Investments 49 (Pty) Ltd and Others v Fenton and Others</w:t>
      </w:r>
      <w:hyperlink r:id="rId18" w:tgtFrame="main" w:history="1">
        <w:r w:rsidRPr="000A51B7">
          <w:rPr>
            <w:rFonts w:ascii="Verdana" w:eastAsia="Times New Roman" w:hAnsi="Verdana" w:cs="Times New Roman"/>
            <w:color w:val="0066FF"/>
            <w:sz w:val="20"/>
            <w:u w:val="single"/>
            <w:lang w:eastAsia="en-ZA"/>
          </w:rPr>
          <w:t>2009 (4) SA 138 (C)</w:t>
        </w:r>
      </w:hyperlink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: referred to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br/>
      </w:r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 xml:space="preserve">Van </w:t>
      </w:r>
      <w:proofErr w:type="spellStart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>Niekerk</w:t>
      </w:r>
      <w:proofErr w:type="spellEnd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 xml:space="preserve"> v Pretoria City Council</w:t>
      </w:r>
      <w:hyperlink r:id="rId19" w:tgtFrame="main" w:history="1">
        <w:r w:rsidRPr="000A51B7">
          <w:rPr>
            <w:rFonts w:ascii="Verdana" w:eastAsia="Times New Roman" w:hAnsi="Verdana" w:cs="Times New Roman"/>
            <w:color w:val="0066FF"/>
            <w:sz w:val="20"/>
            <w:u w:val="single"/>
            <w:lang w:eastAsia="en-ZA"/>
          </w:rPr>
          <w:t>1997 (3) SA 839 (T)</w:t>
        </w:r>
      </w:hyperlink>
      <w:r w:rsidRPr="000A51B7">
        <w:rPr>
          <w:rFonts w:ascii="Verdana" w:eastAsia="Times New Roman" w:hAnsi="Verdana" w:cs="Times New Roman"/>
          <w:color w:val="000000"/>
          <w:sz w:val="20"/>
          <w:lang w:eastAsia="en-ZA"/>
        </w:rPr>
        <w:t> 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([1997] 1 All SA 305): referred to.</w:t>
      </w:r>
      <w:r w:rsidRPr="000A51B7">
        <w:rPr>
          <w:rFonts w:ascii="Verdana" w:eastAsia="Times New Roman" w:hAnsi="Verdana" w:cs="Times New Roman"/>
          <w:color w:val="000000"/>
          <w:sz w:val="20"/>
          <w:lang w:eastAsia="en-ZA"/>
        </w:rPr>
        <w:t> </w:t>
      </w:r>
      <w:r w:rsidRPr="000A51B7">
        <w:rPr>
          <w:rFonts w:ascii="Verdana" w:eastAsia="Times New Roman" w:hAnsi="Verdana" w:cs="Times New Roman"/>
          <w:color w:val="000000"/>
          <w:sz w:val="13"/>
          <w:lang w:eastAsia="en-ZA"/>
        </w:rPr>
        <w:t>J</w:t>
      </w:r>
    </w:p>
    <w:p w:rsidR="000A51B7" w:rsidRPr="000A51B7" w:rsidRDefault="000A51B7" w:rsidP="000A51B7">
      <w:pPr>
        <w:spacing w:after="24" w:line="240" w:lineRule="auto"/>
        <w:jc w:val="right"/>
        <w:rPr>
          <w:rFonts w:ascii="Verdana" w:eastAsia="Times New Roman" w:hAnsi="Verdana" w:cs="Times New Roman"/>
          <w:b/>
          <w:bCs/>
          <w:color w:val="808080"/>
          <w:sz w:val="16"/>
          <w:szCs w:val="16"/>
          <w:lang w:eastAsia="en-ZA"/>
        </w:rPr>
      </w:pPr>
      <w:r w:rsidRPr="000A51B7">
        <w:rPr>
          <w:rFonts w:ascii="Verdana" w:eastAsia="Times New Roman" w:hAnsi="Verdana" w:cs="Times New Roman"/>
          <w:b/>
          <w:bCs/>
          <w:color w:val="808080"/>
          <w:sz w:val="16"/>
          <w:szCs w:val="16"/>
          <w:lang w:eastAsia="en-ZA"/>
        </w:rPr>
        <w:t>2015 (3) SA p618</w:t>
      </w:r>
    </w:p>
    <w:p w:rsidR="000A51B7" w:rsidRPr="000A51B7" w:rsidRDefault="000A51B7" w:rsidP="000A51B7">
      <w:pPr>
        <w:spacing w:after="24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ZA"/>
        </w:rPr>
      </w:pPr>
      <w:bookmarkStart w:id="5" w:name="LPTOC4"/>
      <w:bookmarkEnd w:id="5"/>
      <w:r w:rsidRPr="000A51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ZA"/>
        </w:rPr>
        <w:t>Case Information</w:t>
      </w:r>
    </w:p>
    <w:p w:rsidR="000A51B7" w:rsidRPr="000A51B7" w:rsidRDefault="000A51B7" w:rsidP="000A5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br/>
      </w:r>
      <w:proofErr w:type="gramStart"/>
      <w:r w:rsidRPr="000A51B7">
        <w:rPr>
          <w:rFonts w:ascii="Verdana" w:eastAsia="Times New Roman" w:hAnsi="Verdana" w:cs="Times New Roman"/>
          <w:color w:val="000000"/>
          <w:sz w:val="13"/>
          <w:lang w:eastAsia="en-ZA"/>
        </w:rPr>
        <w:t>A</w:t>
      </w:r>
      <w:proofErr w:type="gramEnd"/>
      <w:r w:rsidRPr="000A51B7">
        <w:rPr>
          <w:rFonts w:ascii="Verdana" w:eastAsia="Times New Roman" w:hAnsi="Verdana" w:cs="Times New Roman"/>
          <w:color w:val="000000"/>
          <w:sz w:val="13"/>
          <w:lang w:eastAsia="en-ZA"/>
        </w:rPr>
        <w:t> 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Adv</w:t>
      </w:r>
      <w:r w:rsidRPr="000A51B7">
        <w:rPr>
          <w:rFonts w:ascii="Verdana" w:eastAsia="Times New Roman" w:hAnsi="Verdana" w:cs="Times New Roman"/>
          <w:color w:val="000000"/>
          <w:sz w:val="20"/>
          <w:lang w:eastAsia="en-ZA"/>
        </w:rPr>
        <w:t> </w:t>
      </w:r>
      <w:proofErr w:type="spellStart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>Pillay</w:t>
      </w:r>
      <w:proofErr w:type="spellEnd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 xml:space="preserve"> SC</w:t>
      </w:r>
      <w:r w:rsidRPr="000A51B7">
        <w:rPr>
          <w:rFonts w:ascii="Verdana" w:eastAsia="Times New Roman" w:hAnsi="Verdana" w:cs="Times New Roman"/>
          <w:color w:val="000000"/>
          <w:sz w:val="20"/>
          <w:lang w:eastAsia="en-ZA"/>
        </w:rPr>
        <w:t> 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for the plaintiff.</w:t>
      </w:r>
    </w:p>
    <w:p w:rsidR="000A51B7" w:rsidRPr="000A51B7" w:rsidRDefault="000A51B7" w:rsidP="000A51B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</w:pPr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 xml:space="preserve">R </w:t>
      </w:r>
      <w:proofErr w:type="spellStart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>Latib</w:t>
      </w:r>
      <w:proofErr w:type="spellEnd"/>
      <w:r w:rsidRPr="000A51B7">
        <w:rPr>
          <w:rFonts w:ascii="Verdana" w:eastAsia="Times New Roman" w:hAnsi="Verdana" w:cs="Times New Roman"/>
          <w:color w:val="000000"/>
          <w:sz w:val="20"/>
          <w:lang w:eastAsia="en-ZA"/>
        </w:rPr>
        <w:t> 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for the defendant.</w:t>
      </w:r>
    </w:p>
    <w:p w:rsidR="000A51B7" w:rsidRPr="000A51B7" w:rsidRDefault="000A51B7" w:rsidP="000A51B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</w:pPr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>Return day of rule nisi order granting costs.</w:t>
      </w:r>
    </w:p>
    <w:p w:rsidR="000A51B7" w:rsidRPr="000A51B7" w:rsidRDefault="000A51B7" w:rsidP="000A51B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</w:pPr>
      <w:r w:rsidRPr="000A51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ZA"/>
        </w:rPr>
        <w:t>Order</w:t>
      </w:r>
    </w:p>
    <w:p w:rsidR="000A51B7" w:rsidRPr="000A51B7" w:rsidRDefault="000A51B7" w:rsidP="000A51B7">
      <w:pPr>
        <w:spacing w:after="0" w:line="240" w:lineRule="auto"/>
        <w:ind w:hanging="226"/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</w:pPr>
      <w:proofErr w:type="gramStart"/>
      <w:r w:rsidRPr="000A51B7">
        <w:rPr>
          <w:rFonts w:ascii="Verdana" w:eastAsia="Times New Roman" w:hAnsi="Verdana" w:cs="Times New Roman"/>
          <w:color w:val="000000"/>
          <w:sz w:val="13"/>
          <w:lang w:eastAsia="en-ZA"/>
        </w:rPr>
        <w:t>B 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1.</w:t>
      </w:r>
      <w:proofErr w:type="gramEnd"/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 xml:space="preserve">   Ezekiel </w:t>
      </w:r>
      <w:proofErr w:type="spellStart"/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Matlou</w:t>
      </w:r>
      <w:proofErr w:type="spellEnd"/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 xml:space="preserve">, </w:t>
      </w:r>
      <w:proofErr w:type="spellStart"/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Jabulani</w:t>
      </w:r>
      <w:proofErr w:type="spellEnd"/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Macheke</w:t>
      </w:r>
      <w:proofErr w:type="spellEnd"/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 xml:space="preserve"> and </w:t>
      </w:r>
      <w:proofErr w:type="spellStart"/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Kgoposi</w:t>
      </w:r>
      <w:proofErr w:type="spellEnd"/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Cele</w:t>
      </w:r>
      <w:proofErr w:type="spellEnd"/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 xml:space="preserve"> are ordered to pay</w:t>
      </w:r>
      <w:r w:rsidRPr="000A51B7">
        <w:rPr>
          <w:rFonts w:ascii="Verdana" w:eastAsia="Times New Roman" w:hAnsi="Verdana" w:cs="Times New Roman"/>
          <w:color w:val="000000"/>
          <w:sz w:val="20"/>
          <w:lang w:eastAsia="en-ZA"/>
        </w:rPr>
        <w:t> </w:t>
      </w:r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 xml:space="preserve">de </w:t>
      </w:r>
      <w:proofErr w:type="spellStart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>bonis</w:t>
      </w:r>
      <w:proofErr w:type="spellEnd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 xml:space="preserve"> </w:t>
      </w:r>
      <w:proofErr w:type="spellStart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>propriis</w:t>
      </w:r>
      <w:proofErr w:type="spellEnd"/>
      <w:r w:rsidRPr="000A51B7">
        <w:rPr>
          <w:rFonts w:ascii="Verdana" w:eastAsia="Times New Roman" w:hAnsi="Verdana" w:cs="Times New Roman"/>
          <w:color w:val="000000"/>
          <w:sz w:val="20"/>
          <w:lang w:eastAsia="en-ZA"/>
        </w:rPr>
        <w:t> 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 xml:space="preserve">50% of the costs (identified as such in </w:t>
      </w:r>
      <w:proofErr w:type="spellStart"/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para</w:t>
      </w:r>
      <w:proofErr w:type="spellEnd"/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 xml:space="preserve"> 134 of my first order of 16 October 2014) jointly and severally with the defendant on the attorney and client scale.</w:t>
      </w:r>
    </w:p>
    <w:p w:rsidR="000A51B7" w:rsidRPr="000A51B7" w:rsidRDefault="000A51B7" w:rsidP="000A51B7">
      <w:pPr>
        <w:spacing w:after="0" w:line="240" w:lineRule="auto"/>
        <w:ind w:hanging="226"/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</w:pP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2.   In the event of the plaintiff recovering all of her costs from the defendant, the defendant is ordered to recover 50% of the costs</w:t>
      </w:r>
      <w:r w:rsidRPr="000A51B7">
        <w:rPr>
          <w:rFonts w:ascii="Verdana" w:eastAsia="Times New Roman" w:hAnsi="Verdana" w:cs="Times New Roman"/>
          <w:color w:val="000000"/>
          <w:sz w:val="20"/>
          <w:lang w:eastAsia="en-ZA"/>
        </w:rPr>
        <w:t> </w:t>
      </w:r>
      <w:r w:rsidRPr="000A51B7">
        <w:rPr>
          <w:rFonts w:ascii="Verdana" w:eastAsia="Times New Roman" w:hAnsi="Verdana" w:cs="Times New Roman"/>
          <w:color w:val="000000"/>
          <w:sz w:val="13"/>
          <w:lang w:eastAsia="en-ZA"/>
        </w:rPr>
        <w:t>C 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paid by her to the plaintiff</w:t>
      </w:r>
      <w:r w:rsidRPr="000A51B7">
        <w:rPr>
          <w:rFonts w:ascii="Verdana" w:eastAsia="Times New Roman" w:hAnsi="Verdana" w:cs="Times New Roman"/>
          <w:color w:val="000000"/>
          <w:sz w:val="20"/>
          <w:lang w:eastAsia="en-ZA"/>
        </w:rPr>
        <w:t> </w:t>
      </w:r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 xml:space="preserve">de </w:t>
      </w:r>
      <w:proofErr w:type="spellStart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>bonis</w:t>
      </w:r>
      <w:proofErr w:type="spellEnd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 xml:space="preserve"> </w:t>
      </w:r>
      <w:proofErr w:type="spellStart"/>
      <w:r w:rsidRPr="000A51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ZA"/>
        </w:rPr>
        <w:t>propriis</w:t>
      </w:r>
      <w:proofErr w:type="spellEnd"/>
      <w:r w:rsidRPr="000A51B7">
        <w:rPr>
          <w:rFonts w:ascii="Verdana" w:eastAsia="Times New Roman" w:hAnsi="Verdana" w:cs="Times New Roman"/>
          <w:color w:val="000000"/>
          <w:sz w:val="20"/>
          <w:lang w:eastAsia="en-ZA"/>
        </w:rPr>
        <w:t> 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 xml:space="preserve">from Messrs </w:t>
      </w:r>
      <w:proofErr w:type="spellStart"/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Matlou</w:t>
      </w:r>
      <w:proofErr w:type="spellEnd"/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 xml:space="preserve">, </w:t>
      </w:r>
      <w:proofErr w:type="spellStart"/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Macheke</w:t>
      </w:r>
      <w:proofErr w:type="spellEnd"/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 xml:space="preserve"> and </w:t>
      </w:r>
      <w:proofErr w:type="spellStart"/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Cele</w:t>
      </w:r>
      <w:proofErr w:type="spellEnd"/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 xml:space="preserve"> jointly and severally.</w:t>
      </w:r>
    </w:p>
    <w:p w:rsidR="000A51B7" w:rsidRPr="000A51B7" w:rsidRDefault="000A51B7" w:rsidP="000A51B7">
      <w:pPr>
        <w:spacing w:after="0" w:line="240" w:lineRule="auto"/>
        <w:ind w:hanging="226"/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</w:pP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 xml:space="preserve">3.   The conduct of Mr </w:t>
      </w:r>
      <w:proofErr w:type="spellStart"/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Matlou</w:t>
      </w:r>
      <w:proofErr w:type="spellEnd"/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 xml:space="preserve"> is referred to the Law Society of the Northern Provinces for investigation and such further action as it may deem fit.</w:t>
      </w:r>
    </w:p>
    <w:p w:rsidR="000A51B7" w:rsidRPr="000A51B7" w:rsidRDefault="000A51B7" w:rsidP="000A51B7">
      <w:pPr>
        <w:spacing w:after="0" w:line="240" w:lineRule="auto"/>
        <w:ind w:hanging="226"/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</w:pP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4.   The registrar is directed to send a copy of this judgment, as well as</w:t>
      </w:r>
      <w:r w:rsidRPr="000A51B7">
        <w:rPr>
          <w:rFonts w:ascii="Verdana" w:eastAsia="Times New Roman" w:hAnsi="Verdana" w:cs="Times New Roman"/>
          <w:color w:val="000000"/>
          <w:sz w:val="20"/>
          <w:lang w:eastAsia="en-ZA"/>
        </w:rPr>
        <w:t> </w:t>
      </w:r>
      <w:r w:rsidRPr="000A51B7">
        <w:rPr>
          <w:rFonts w:ascii="Verdana" w:eastAsia="Times New Roman" w:hAnsi="Verdana" w:cs="Times New Roman"/>
          <w:color w:val="000000"/>
          <w:sz w:val="13"/>
          <w:lang w:eastAsia="en-ZA"/>
        </w:rPr>
        <w:t>D </w:t>
      </w:r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 xml:space="preserve">the judgment in this matter of 16 October 2014, to the Law Society of the Northern Provinces with the request that the Law Society investigate the conduct of Mr Ezekiel </w:t>
      </w:r>
      <w:proofErr w:type="spellStart"/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>Matlou</w:t>
      </w:r>
      <w:proofErr w:type="spellEnd"/>
      <w:r w:rsidRPr="000A51B7">
        <w:rPr>
          <w:rFonts w:ascii="Verdana" w:eastAsia="Times New Roman" w:hAnsi="Verdana" w:cs="Times New Roman"/>
          <w:color w:val="000000"/>
          <w:sz w:val="20"/>
          <w:szCs w:val="20"/>
          <w:lang w:eastAsia="en-ZA"/>
        </w:rPr>
        <w:t xml:space="preserve"> as appears from this judgment, with a view to taking such action as the Law Society may consider appropriate.</w:t>
      </w:r>
    </w:p>
    <w:p w:rsidR="00F156D4" w:rsidRDefault="00F156D4"/>
    <w:sectPr w:rsidR="00F156D4" w:rsidSect="00F156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51B7"/>
    <w:rsid w:val="000A51B7"/>
    <w:rsid w:val="00F1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A51B7"/>
  </w:style>
  <w:style w:type="character" w:customStyle="1" w:styleId="mc">
    <w:name w:val="mc"/>
    <w:basedOn w:val="DefaultParagraphFont"/>
    <w:rsid w:val="000A51B7"/>
  </w:style>
  <w:style w:type="character" w:customStyle="1" w:styleId="field-normal-blue">
    <w:name w:val="field-normal-blue"/>
    <w:basedOn w:val="DefaultParagraphFont"/>
    <w:rsid w:val="000A51B7"/>
  </w:style>
  <w:style w:type="character" w:styleId="Hyperlink">
    <w:name w:val="Hyperlink"/>
    <w:basedOn w:val="DefaultParagraphFont"/>
    <w:uiPriority w:val="99"/>
    <w:semiHidden/>
    <w:unhideWhenUsed/>
    <w:rsid w:val="000A51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2774">
          <w:marLeft w:val="0"/>
          <w:marRight w:val="0"/>
          <w:marTop w:val="14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4599">
          <w:marLeft w:val="0"/>
          <w:marRight w:val="0"/>
          <w:marTop w:val="2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5993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7910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62549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5507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8987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9164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4521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8122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38969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3544">
          <w:marLeft w:val="0"/>
          <w:marRight w:val="0"/>
          <w:marTop w:val="120"/>
          <w:marBottom w:val="0"/>
          <w:divBdr>
            <w:top w:val="single" w:sz="18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748">
          <w:marLeft w:val="0"/>
          <w:marRight w:val="0"/>
          <w:marTop w:val="14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013">
          <w:marLeft w:val="4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0562">
          <w:marLeft w:val="0"/>
          <w:marRight w:val="0"/>
          <w:marTop w:val="14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7168">
          <w:marLeft w:val="129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4306">
          <w:marLeft w:val="0"/>
          <w:marRight w:val="0"/>
          <w:marTop w:val="240"/>
          <w:marBottom w:val="24"/>
          <w:divBdr>
            <w:top w:val="single" w:sz="8" w:space="2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26">
          <w:marLeft w:val="0"/>
          <w:marRight w:val="0"/>
          <w:marTop w:val="14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3503">
          <w:marLeft w:val="0"/>
          <w:marRight w:val="0"/>
          <w:marTop w:val="240"/>
          <w:marBottom w:val="24"/>
          <w:divBdr>
            <w:top w:val="single" w:sz="8" w:space="2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638">
          <w:marLeft w:val="0"/>
          <w:marRight w:val="0"/>
          <w:marTop w:val="14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799">
          <w:marLeft w:val="5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2010">
          <w:marLeft w:val="5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3957">
          <w:marLeft w:val="5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1446">
          <w:marLeft w:val="5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products.jutalaw.co.za/nxt/foliolinks.asp?f=xhitlist&amp;xhitlist_x=Advanced&amp;xhitlist_vpc=first&amp;xhitlist_xsl=querylink.xsl&amp;xhitlist_sel=title;path;content-type;home-title&amp;xhitlist_d=%7bsalrFh%7d&amp;xhitlist_q=%5bfield%20folio-destination-name:%270651%27%5d&amp;xhitlist_md=target-id=0-0-0-1785" TargetMode="External"/><Relationship Id="rId13" Type="http://schemas.openxmlformats.org/officeDocument/2006/relationships/hyperlink" Target="http://ipproducts.jutalaw.co.za/nxt/foliolinks.asp?f=xhitlist&amp;xhitlist_x=Advanced&amp;xhitlist_vpc=first&amp;xhitlist_xsl=querylink.xsl&amp;xhitlist_sel=title;path;content-type;home-title&amp;xhitlist_d=%7bsalrFh%7d&amp;xhitlist_q=%5bfield%20folio-destination-name:%270141184%27%5d&amp;xhitlist_md=target-id=0-0-0-2569" TargetMode="External"/><Relationship Id="rId18" Type="http://schemas.openxmlformats.org/officeDocument/2006/relationships/hyperlink" Target="http://ipproducts.jutalaw.co.za/nxt/foliolinks.asp?f=xhitlist&amp;xhitlist_x=Advanced&amp;xhitlist_vpc=first&amp;xhitlist_xsl=querylink.xsl&amp;xhitlist_sel=title;path;content-type;home-title&amp;xhitlist_d=%7bsalrFh%7d&amp;xhitlist_q=%5bfield%20folio-destination-name:%27094138%27%5d&amp;xhitlist_md=target-id=0-0-0-257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ipproducts.jutalaw.co.za/nxt/foliolinks.asp?f=xhitlist&amp;xhitlist_x=Advanced&amp;xhitlist_vpc=first&amp;xhitlist_xsl=querylink.xsl&amp;xhitlist_sel=title;path;content-type;home-title&amp;xhitlist_d=%7bsalrFh%7d&amp;xhitlist_q=%5bfield%20folio-destination-name:%272012245%27%5d&amp;xhitlist_md=target-id=0-0-0-2561" TargetMode="External"/><Relationship Id="rId12" Type="http://schemas.openxmlformats.org/officeDocument/2006/relationships/hyperlink" Target="http://ipproducts.jutalaw.co.za/nxt/foliolinks.asp?f=xhitlist&amp;xhitlist_x=Advanced&amp;xhitlist_vpc=first&amp;xhitlist_xsl=querylink.xsl&amp;xhitlist_sel=title;path;content-type;home-title&amp;xhitlist_d=%7bsalrFh%7d&amp;xhitlist_q=%5bfield%20folio-destination-name:%2708594%27%5d&amp;xhitlist_md=target-id=0-0-0-1665" TargetMode="External"/><Relationship Id="rId17" Type="http://schemas.openxmlformats.org/officeDocument/2006/relationships/hyperlink" Target="http://ipproducts.jutalaw.co.za/nxt/foliolinks.asp?f=xhitlist&amp;xhitlist_x=Advanced&amp;xhitlist_vpc=first&amp;xhitlist_xsl=querylink.xsl&amp;xhitlist_sel=title;path;content-type;home-title&amp;xhitlist_d=%7bsalrFh%7d&amp;xhitlist_q=%5bfield%20folio-destination-name:%2720134134%27%5d&amp;xhitlist_md=target-id=0-0-0-257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pproducts.jutalaw.co.za/nxt/foliolinks.asp?f=xhitlist&amp;xhitlist_x=Advanced&amp;xhitlist_vpc=first&amp;xhitlist_xsl=querylink.xsl&amp;xhitlist_sel=title;path;content-type;home-title&amp;xhitlist_d=%7bsalrFh%7d&amp;xhitlist_q=%5bfield%20folio-destination-name:%27091565%27%5d&amp;xhitlist_md=target-id=0-0-0-257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pproducts.jutalaw.co.za/nxt/foliolinks.asp?f=xhitlist&amp;xhitlist_x=Advanced&amp;xhitlist_vpc=first&amp;xhitlist_xsl=querylink.xsl&amp;xhitlist_sel=title;path;content-type;home-title&amp;xhitlist_d=%7bsalrFh%7d&amp;xhitlist_q=%5bfield%20folio-destination-name:%27051141%27%5d&amp;xhitlist_md=target-id=0-0-0-2559" TargetMode="External"/><Relationship Id="rId11" Type="http://schemas.openxmlformats.org/officeDocument/2006/relationships/hyperlink" Target="http://ipproducts.jutalaw.co.za/nxt/foliolinks.asp?f=xhitlist&amp;xhitlist_x=Advanced&amp;xhitlist_vpc=first&amp;xhitlist_xsl=querylink.xsl&amp;xhitlist_sel=title;path;content-type;home-title&amp;xhitlist_d=%7bsalrFh%7d&amp;xhitlist_q=%5bfield%20folio-destination-name:%27084237%27%5d&amp;xhitlist_md=target-id=0-0-0-2567" TargetMode="External"/><Relationship Id="rId5" Type="http://schemas.openxmlformats.org/officeDocument/2006/relationships/hyperlink" Target="http://ipproducts.jutalaw.co.za/nxt/foliolinks.asp?f=xhitlist&amp;xhitlist_x=Advanced&amp;xhitlist_vpc=first&amp;xhitlist_xsl=querylink.xsl&amp;xhitlist_sel=title;path;content-type;home-title&amp;xhitlist_d=%7bsalrFh%7d&amp;xhitlist_q=%5bfield%20folio-destination-name:%27763352%27%5d&amp;xhitlist_md=target-id=0-0-0-2557" TargetMode="External"/><Relationship Id="rId15" Type="http://schemas.openxmlformats.org/officeDocument/2006/relationships/hyperlink" Target="http://ipproducts.jutalaw.co.za/nxt/foliolinks.asp?f=xhitlist&amp;xhitlist_x=Advanced&amp;xhitlist_vpc=first&amp;xhitlist_xsl=querylink.xsl&amp;xhitlist_sel=title;path;content-type;home-title&amp;xhitlist_d=%7bsalrFh%7d&amp;xhitlist_q=%5bfield%20folio-destination-name:%2720104308%27%5d&amp;xhitlist_md=target-id=0-0-0-2573" TargetMode="External"/><Relationship Id="rId10" Type="http://schemas.openxmlformats.org/officeDocument/2006/relationships/hyperlink" Target="http://ipproducts.jutalaw.co.za/nxt/foliolinks.asp?f=xhitlist&amp;xhitlist_x=Advanced&amp;xhitlist_vpc=first&amp;xhitlist_xsl=querylink.xsl&amp;xhitlist_sel=title;path;content-type;home-title&amp;xhitlist_d=%7bsalrFh%7d&amp;xhitlist_q=%5bfield%20folio-destination-name:%2720143265%27%5d&amp;xhitlist_md=target-id=0-0-0-2565" TargetMode="External"/><Relationship Id="rId19" Type="http://schemas.openxmlformats.org/officeDocument/2006/relationships/hyperlink" Target="http://ipproducts.jutalaw.co.za/nxt/foliolinks.asp?f=xhitlist&amp;xhitlist_x=Advanced&amp;xhitlist_vpc=first&amp;xhitlist_xsl=querylink.xsl&amp;xhitlist_sel=title;path;content-type;home-title&amp;xhitlist_d=%7bsalrFh%7d&amp;xhitlist_q=%5bfield%20folio-destination-name:%27973839%27%5d&amp;xhitlist_md=target-id=0-0-0-2581" TargetMode="External"/><Relationship Id="rId4" Type="http://schemas.openxmlformats.org/officeDocument/2006/relationships/hyperlink" Target="http://ipproducts.jutalaw.co.za/nxt/foliolinks.asp?f=xhitlist&amp;xhitlist_x=Advanced&amp;xhitlist_vpc=first&amp;xhitlist_xsl=querylink.xsl&amp;xhitlist_sel=title;path;content-type;home-title&amp;xhitlist_d=%7bsalrFh%7d&amp;xhitlist_q=%5bfield%20folio-destination-name:%2720133619%27%5d&amp;xhitlist_md=target-id=0-0-0-2555" TargetMode="External"/><Relationship Id="rId9" Type="http://schemas.openxmlformats.org/officeDocument/2006/relationships/hyperlink" Target="http://ipproducts.jutalaw.co.za/nxt/foliolinks.asp?f=xhitlist&amp;xhitlist_x=Advanced&amp;xhitlist_vpc=first&amp;xhitlist_xsl=querylink.xsl&amp;xhitlist_sel=title;path;content-type;home-title&amp;xhitlist_d=%7bsalrFh%7d&amp;xhitlist_q=%5bfield%20folio-destination-name:%27092401%27%5d&amp;xhitlist_md=target-id=0-0-0-2563" TargetMode="External"/><Relationship Id="rId14" Type="http://schemas.openxmlformats.org/officeDocument/2006/relationships/hyperlink" Target="http://ipproducts.jutalaw.co.za/nxt/foliolinks.asp?f=xhitlist&amp;xhitlist_x=Advanced&amp;xhitlist_vpc=first&amp;xhitlist_xsl=querylink.xsl&amp;xhitlist_sel=title;path;content-type;home-title&amp;xhitlist_d=%7bsalrFh%7d&amp;xhitlist_q=%5bfield%20folio-destination-name:%27684401%27%5d&amp;xhitlist_md=target-id=0-0-0-25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1861</Words>
  <Characters>10612</Characters>
  <Application>Microsoft Office Word</Application>
  <DocSecurity>0</DocSecurity>
  <Lines>88</Lines>
  <Paragraphs>24</Paragraphs>
  <ScaleCrop>false</ScaleCrop>
  <Company/>
  <LinksUpToDate>false</LinksUpToDate>
  <CharactersWithSpaces>12449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buyile</dc:creator>
  <cp:lastModifiedBy>buyile</cp:lastModifiedBy>
  <cp:revision>1</cp:revision>
  <dcterms:created xsi:type="dcterms:W3CDTF">2016-01-05T15:35:00Z</dcterms:created>
  <dcterms:modified xsi:type="dcterms:W3CDTF">2016-01-05T15:35:00Z</dcterms:modified>
</cp:coreProperties>
</file>