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C4" w:rsidRPr="009334C4" w:rsidRDefault="009334C4" w:rsidP="009334C4">
      <w:pPr>
        <w:spacing w:after="24" w:line="240" w:lineRule="auto"/>
        <w:rPr>
          <w:rFonts w:ascii="Arial" w:eastAsia="Times New Roman" w:hAnsi="Arial" w:cs="Arial"/>
          <w:b/>
          <w:bCs/>
          <w:color w:val="000000"/>
          <w:lang w:eastAsia="en-ZA"/>
        </w:rPr>
      </w:pPr>
      <w:r w:rsidRPr="009334C4">
        <w:rPr>
          <w:rFonts w:ascii="Arial" w:eastAsia="Times New Roman" w:hAnsi="Arial" w:cs="Arial"/>
          <w:b/>
          <w:bCs/>
          <w:color w:val="000000"/>
          <w:lang w:eastAsia="en-ZA"/>
        </w:rPr>
        <w:t>KHOZA v MEC FOR HEALTH AND SOCIAL DEVELOPMENT, GAUTENG 2015 (3) SA 266 (GJ) </w:t>
      </w:r>
      <w:r w:rsidRPr="009334C4">
        <w:rPr>
          <w:rFonts w:ascii="Arial" w:eastAsia="Times New Roman" w:hAnsi="Arial" w:cs="Arial"/>
          <w:color w:val="000000"/>
          <w:lang w:eastAsia="en-ZA"/>
        </w:rPr>
        <w:t>D</w:t>
      </w:r>
    </w:p>
    <w:p w:rsidR="009334C4" w:rsidRPr="009334C4" w:rsidRDefault="009334C4" w:rsidP="009334C4">
      <w:pPr>
        <w:spacing w:after="24" w:line="240" w:lineRule="auto"/>
        <w:jc w:val="right"/>
        <w:rPr>
          <w:rFonts w:ascii="Arial" w:eastAsia="Times New Roman" w:hAnsi="Arial" w:cs="Arial"/>
          <w:b/>
          <w:bCs/>
          <w:color w:val="808080"/>
          <w:lang w:eastAsia="en-ZA"/>
        </w:rPr>
      </w:pPr>
      <w:r w:rsidRPr="009334C4">
        <w:rPr>
          <w:rFonts w:ascii="Arial" w:eastAsia="Times New Roman" w:hAnsi="Arial" w:cs="Arial"/>
          <w:b/>
          <w:bCs/>
          <w:color w:val="808080"/>
          <w:lang w:eastAsia="en-ZA"/>
        </w:rPr>
        <w:t>2015 (3) SA p266</w:t>
      </w:r>
    </w:p>
    <w:p w:rsidR="009334C4" w:rsidRPr="009334C4" w:rsidRDefault="009334C4" w:rsidP="009334C4">
      <w:pPr>
        <w:spacing w:after="0" w:line="240" w:lineRule="auto"/>
        <w:rPr>
          <w:rFonts w:ascii="Arial" w:eastAsia="Times New Roman" w:hAnsi="Arial" w:cs="Arial"/>
          <w:color w:val="000000"/>
          <w:lang w:eastAsia="en-ZA"/>
        </w:rPr>
      </w:pPr>
      <w:r w:rsidRPr="009334C4">
        <w:rPr>
          <w:rFonts w:ascii="Arial" w:eastAsia="Times New Roman" w:hAnsi="Arial" w:cs="Arial"/>
          <w:color w:val="000000"/>
          <w:lang w:eastAsia="en-ZA"/>
        </w:rPr>
        <w:t> </w:t>
      </w:r>
    </w:p>
    <w:tbl>
      <w:tblPr>
        <w:tblW w:w="0" w:type="auto"/>
        <w:tblCellMar>
          <w:top w:w="15" w:type="dxa"/>
          <w:left w:w="15" w:type="dxa"/>
          <w:bottom w:w="15" w:type="dxa"/>
          <w:right w:w="15" w:type="dxa"/>
        </w:tblCellMar>
        <w:tblLook w:val="04A0"/>
      </w:tblPr>
      <w:tblGrid>
        <w:gridCol w:w="1500"/>
        <w:gridCol w:w="3996"/>
      </w:tblGrid>
      <w:tr w:rsidR="009334C4" w:rsidRPr="009334C4" w:rsidTr="009334C4">
        <w:tc>
          <w:tcPr>
            <w:tcW w:w="0" w:type="auto"/>
            <w:tcMar>
              <w:top w:w="32" w:type="dxa"/>
              <w:left w:w="108" w:type="dxa"/>
              <w:bottom w:w="32" w:type="dxa"/>
              <w:right w:w="108" w:type="dxa"/>
            </w:tcMar>
            <w:hideMark/>
          </w:tcPr>
          <w:p w:rsidR="009334C4" w:rsidRPr="009334C4" w:rsidRDefault="009334C4" w:rsidP="009334C4">
            <w:pPr>
              <w:spacing w:before="32" w:after="32" w:line="240" w:lineRule="auto"/>
              <w:divId w:val="1806509590"/>
              <w:rPr>
                <w:rFonts w:ascii="Arial" w:eastAsia="Times New Roman" w:hAnsi="Arial" w:cs="Arial"/>
                <w:lang w:eastAsia="en-ZA"/>
              </w:rPr>
            </w:pPr>
            <w:r w:rsidRPr="009334C4">
              <w:rPr>
                <w:rFonts w:ascii="Arial" w:eastAsia="Times New Roman" w:hAnsi="Arial" w:cs="Arial"/>
                <w:b/>
                <w:bCs/>
                <w:lang w:eastAsia="en-ZA"/>
              </w:rPr>
              <w:t>Citation</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2015 (3) SA 266 (GJ)</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r>
      <w:tr w:rsidR="009334C4" w:rsidRPr="009334C4" w:rsidTr="009334C4">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b/>
                <w:bCs/>
                <w:lang w:eastAsia="en-ZA"/>
              </w:rPr>
              <w:t>Case No</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2012/20087</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r>
      <w:tr w:rsidR="009334C4" w:rsidRPr="009334C4" w:rsidTr="009334C4">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b/>
                <w:bCs/>
                <w:lang w:eastAsia="en-ZA"/>
              </w:rPr>
              <w:t>Court</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Gauteng Local Division, Johannesburg</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r>
      <w:tr w:rsidR="009334C4" w:rsidRPr="009334C4" w:rsidTr="009334C4">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b/>
                <w:bCs/>
                <w:lang w:eastAsia="en-ZA"/>
              </w:rPr>
              <w:t>Judge</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proofErr w:type="spellStart"/>
            <w:r w:rsidRPr="009334C4">
              <w:rPr>
                <w:rFonts w:ascii="Arial" w:eastAsia="Times New Roman" w:hAnsi="Arial" w:cs="Arial"/>
                <w:lang w:eastAsia="en-ZA"/>
              </w:rPr>
              <w:t>Spilg</w:t>
            </w:r>
            <w:proofErr w:type="spellEnd"/>
            <w:r w:rsidRPr="009334C4">
              <w:rPr>
                <w:rFonts w:ascii="Arial" w:eastAsia="Times New Roman" w:hAnsi="Arial" w:cs="Arial"/>
                <w:lang w:eastAsia="en-ZA"/>
              </w:rPr>
              <w:t xml:space="preserve"> J</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r>
      <w:tr w:rsidR="009334C4" w:rsidRPr="009334C4" w:rsidTr="009334C4">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b/>
                <w:bCs/>
                <w:lang w:eastAsia="en-ZA"/>
              </w:rPr>
              <w:t>Heard</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April 28, 2014; May 2-20, 2014</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r>
      <w:tr w:rsidR="009334C4" w:rsidRPr="009334C4" w:rsidTr="009334C4">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b/>
                <w:bCs/>
                <w:lang w:eastAsia="en-ZA"/>
              </w:rPr>
              <w:t>Judgment</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February 6, 2015</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r>
      <w:tr w:rsidR="009334C4" w:rsidRPr="009334C4" w:rsidTr="009334C4">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b/>
                <w:bCs/>
                <w:lang w:eastAsia="en-ZA"/>
              </w:rPr>
              <w:t>Counsel</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i/>
                <w:iCs/>
                <w:lang w:eastAsia="en-ZA"/>
              </w:rPr>
              <w:t xml:space="preserve">N van </w:t>
            </w:r>
            <w:proofErr w:type="spellStart"/>
            <w:r w:rsidRPr="009334C4">
              <w:rPr>
                <w:rFonts w:ascii="Arial" w:eastAsia="Times New Roman" w:hAnsi="Arial" w:cs="Arial"/>
                <w:i/>
                <w:iCs/>
                <w:lang w:eastAsia="en-ZA"/>
              </w:rPr>
              <w:t>der</w:t>
            </w:r>
            <w:proofErr w:type="spellEnd"/>
            <w:r w:rsidRPr="009334C4">
              <w:rPr>
                <w:rFonts w:ascii="Arial" w:eastAsia="Times New Roman" w:hAnsi="Arial" w:cs="Arial"/>
                <w:i/>
                <w:iCs/>
                <w:lang w:eastAsia="en-ZA"/>
              </w:rPr>
              <w:t xml:space="preserve"> Walt</w:t>
            </w:r>
            <w:r w:rsidRPr="009334C4">
              <w:rPr>
                <w:rFonts w:ascii="Arial" w:eastAsia="Times New Roman" w:hAnsi="Arial" w:cs="Arial"/>
                <w:lang w:eastAsia="en-ZA"/>
              </w:rPr>
              <w:t> for the plaintiff.</w:t>
            </w:r>
            <w:r w:rsidRPr="009334C4">
              <w:rPr>
                <w:rFonts w:ascii="Arial" w:eastAsia="Times New Roman" w:hAnsi="Arial" w:cs="Arial"/>
                <w:i/>
                <w:iCs/>
                <w:lang w:eastAsia="en-ZA"/>
              </w:rPr>
              <w:br/>
              <w:t xml:space="preserve">RB </w:t>
            </w:r>
            <w:proofErr w:type="spellStart"/>
            <w:r w:rsidRPr="009334C4">
              <w:rPr>
                <w:rFonts w:ascii="Arial" w:eastAsia="Times New Roman" w:hAnsi="Arial" w:cs="Arial"/>
                <w:i/>
                <w:iCs/>
                <w:lang w:eastAsia="en-ZA"/>
              </w:rPr>
              <w:t>Mkhabela</w:t>
            </w:r>
            <w:proofErr w:type="spellEnd"/>
            <w:r w:rsidRPr="009334C4">
              <w:rPr>
                <w:rFonts w:ascii="Arial" w:eastAsia="Times New Roman" w:hAnsi="Arial" w:cs="Arial"/>
                <w:lang w:eastAsia="en-ZA"/>
              </w:rPr>
              <w:t> for the defendant.</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r>
      <w:tr w:rsidR="009334C4" w:rsidRPr="009334C4" w:rsidTr="009334C4">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b/>
                <w:bCs/>
                <w:lang w:eastAsia="en-ZA"/>
              </w:rPr>
              <w:t>Annotations</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c>
          <w:tcPr>
            <w:tcW w:w="0" w:type="auto"/>
            <w:tcMar>
              <w:top w:w="32" w:type="dxa"/>
              <w:left w:w="108" w:type="dxa"/>
              <w:bottom w:w="32" w:type="dxa"/>
              <w:right w:w="108" w:type="dxa"/>
            </w:tcMar>
            <w:hideMark/>
          </w:tcPr>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Link to Case Annotations</w:t>
            </w:r>
          </w:p>
          <w:p w:rsidR="009334C4" w:rsidRPr="009334C4" w:rsidRDefault="009334C4" w:rsidP="009334C4">
            <w:pPr>
              <w:spacing w:before="32" w:after="32" w:line="240" w:lineRule="auto"/>
              <w:rPr>
                <w:rFonts w:ascii="Arial" w:eastAsia="Times New Roman" w:hAnsi="Arial" w:cs="Arial"/>
                <w:lang w:eastAsia="en-ZA"/>
              </w:rPr>
            </w:pPr>
            <w:r w:rsidRPr="009334C4">
              <w:rPr>
                <w:rFonts w:ascii="Arial" w:eastAsia="Times New Roman" w:hAnsi="Arial" w:cs="Arial"/>
                <w:lang w:eastAsia="en-ZA"/>
              </w:rPr>
              <w:t> </w:t>
            </w:r>
          </w:p>
        </w:tc>
      </w:tr>
    </w:tbl>
    <w:p w:rsidR="009334C4" w:rsidRPr="009334C4" w:rsidRDefault="009334C4" w:rsidP="009334C4">
      <w:pPr>
        <w:spacing w:after="0" w:line="240" w:lineRule="auto"/>
        <w:rPr>
          <w:rFonts w:ascii="Arial" w:eastAsia="Times New Roman" w:hAnsi="Arial" w:cs="Arial"/>
          <w:color w:val="000000"/>
          <w:lang w:eastAsia="en-ZA"/>
        </w:rPr>
      </w:pPr>
      <w:r w:rsidRPr="009334C4">
        <w:rPr>
          <w:rFonts w:ascii="Arial" w:eastAsia="Times New Roman" w:hAnsi="Arial" w:cs="Arial"/>
          <w:color w:val="000000"/>
          <w:lang w:eastAsia="en-ZA"/>
        </w:rPr>
        <w:t> </w:t>
      </w:r>
    </w:p>
    <w:p w:rsidR="009334C4" w:rsidRPr="009334C4" w:rsidRDefault="009334C4" w:rsidP="009334C4">
      <w:pPr>
        <w:spacing w:after="0" w:line="240" w:lineRule="auto"/>
        <w:rPr>
          <w:rFonts w:ascii="Arial" w:eastAsia="Times New Roman" w:hAnsi="Arial" w:cs="Arial"/>
          <w:color w:val="000000"/>
          <w:lang w:eastAsia="en-ZA"/>
        </w:rPr>
      </w:pPr>
      <w:r w:rsidRPr="009334C4">
        <w:rPr>
          <w:rFonts w:ascii="Arial" w:eastAsia="Times New Roman" w:hAnsi="Arial" w:cs="Arial"/>
          <w:color w:val="000000"/>
          <w:lang w:eastAsia="en-ZA"/>
        </w:rPr>
        <w:t>E</w:t>
      </w:r>
    </w:p>
    <w:p w:rsidR="009334C4" w:rsidRPr="009334C4" w:rsidRDefault="009334C4" w:rsidP="009334C4">
      <w:pPr>
        <w:spacing w:after="24" w:line="240" w:lineRule="auto"/>
        <w:rPr>
          <w:rFonts w:ascii="Arial" w:eastAsia="Times New Roman" w:hAnsi="Arial" w:cs="Arial"/>
          <w:b/>
          <w:bCs/>
          <w:color w:val="000000"/>
          <w:lang w:eastAsia="en-ZA"/>
        </w:rPr>
      </w:pPr>
      <w:bookmarkStart w:id="0" w:name="LPTOC1"/>
      <w:bookmarkEnd w:id="0"/>
      <w:proofErr w:type="spellStart"/>
      <w:proofErr w:type="gramStart"/>
      <w:r w:rsidRPr="009334C4">
        <w:rPr>
          <w:rFonts w:ascii="Arial" w:eastAsia="Times New Roman" w:hAnsi="Arial" w:cs="Arial"/>
          <w:b/>
          <w:bCs/>
          <w:color w:val="000000"/>
          <w:lang w:eastAsia="en-ZA"/>
        </w:rPr>
        <w:t>Flynote</w:t>
      </w:r>
      <w:proofErr w:type="spellEnd"/>
      <w:r w:rsidRPr="009334C4">
        <w:rPr>
          <w:rFonts w:ascii="Arial" w:eastAsia="Times New Roman" w:hAnsi="Arial" w:cs="Arial"/>
          <w:b/>
          <w:bCs/>
          <w:color w:val="000000"/>
          <w:lang w:eastAsia="en-ZA"/>
        </w:rPr>
        <w:t xml:space="preserve"> :</w:t>
      </w:r>
      <w:proofErr w:type="gramEnd"/>
      <w:r w:rsidRPr="009334C4">
        <w:rPr>
          <w:rFonts w:ascii="Arial" w:eastAsia="Times New Roman" w:hAnsi="Arial" w:cs="Arial"/>
          <w:b/>
          <w:bCs/>
          <w:color w:val="000000"/>
          <w:lang w:eastAsia="en-ZA"/>
        </w:rPr>
        <w:t xml:space="preserve"> </w:t>
      </w:r>
      <w:proofErr w:type="spellStart"/>
      <w:r w:rsidRPr="009334C4">
        <w:rPr>
          <w:rFonts w:ascii="Arial" w:eastAsia="Times New Roman" w:hAnsi="Arial" w:cs="Arial"/>
          <w:b/>
          <w:bCs/>
          <w:color w:val="000000"/>
          <w:lang w:eastAsia="en-ZA"/>
        </w:rPr>
        <w:t>Sleutelwoorde</w:t>
      </w:r>
      <w:proofErr w:type="spellEnd"/>
    </w:p>
    <w:p w:rsidR="009334C4" w:rsidRPr="009334C4" w:rsidRDefault="009334C4" w:rsidP="009334C4">
      <w:pPr>
        <w:spacing w:after="60" w:line="240" w:lineRule="auto"/>
        <w:jc w:val="both"/>
        <w:rPr>
          <w:rFonts w:ascii="Arial" w:eastAsia="Times New Roman" w:hAnsi="Arial" w:cs="Arial"/>
          <w:b/>
          <w:bCs/>
          <w:color w:val="000000"/>
          <w:lang w:eastAsia="en-ZA"/>
        </w:rPr>
      </w:pPr>
    </w:p>
    <w:p w:rsidR="009334C4" w:rsidRPr="009334C4" w:rsidRDefault="009334C4" w:rsidP="009334C4">
      <w:pPr>
        <w:spacing w:after="60" w:line="240" w:lineRule="auto"/>
        <w:jc w:val="both"/>
        <w:rPr>
          <w:rFonts w:ascii="Arial" w:eastAsia="Times New Roman" w:hAnsi="Arial" w:cs="Arial"/>
          <w:color w:val="000000"/>
          <w:lang w:eastAsia="en-ZA"/>
        </w:rPr>
      </w:pPr>
      <w:r w:rsidRPr="009334C4">
        <w:rPr>
          <w:rFonts w:ascii="Arial" w:eastAsia="Times New Roman" w:hAnsi="Arial" w:cs="Arial"/>
          <w:b/>
          <w:bCs/>
          <w:color w:val="000000"/>
          <w:lang w:eastAsia="en-ZA"/>
        </w:rPr>
        <w:t>Medicine</w:t>
      </w:r>
      <w:r w:rsidRPr="009334C4">
        <w:rPr>
          <w:rFonts w:ascii="Arial" w:eastAsia="Times New Roman" w:hAnsi="Arial" w:cs="Arial"/>
          <w:color w:val="000000"/>
          <w:lang w:eastAsia="en-ZA"/>
        </w:rPr>
        <w:t> — </w:t>
      </w:r>
      <w:bookmarkStart w:id="1" w:name="LPHit1"/>
      <w:bookmarkEnd w:id="1"/>
      <w:r w:rsidRPr="009334C4">
        <w:rPr>
          <w:rFonts w:ascii="Arial" w:eastAsia="Times New Roman" w:hAnsi="Arial" w:cs="Arial"/>
          <w:color w:val="000000"/>
          <w:lang w:eastAsia="en-ZA"/>
        </w:rPr>
        <w:t>Medical practitioner — </w:t>
      </w:r>
      <w:bookmarkStart w:id="2" w:name="LPHit2"/>
      <w:bookmarkEnd w:id="2"/>
      <w:r w:rsidRPr="009334C4">
        <w:rPr>
          <w:rFonts w:ascii="Arial" w:eastAsia="Times New Roman" w:hAnsi="Arial" w:cs="Arial"/>
          <w:color w:val="000000"/>
          <w:lang w:eastAsia="en-ZA"/>
        </w:rPr>
        <w:t xml:space="preserve">Negligence — Proof — Secondary evidence of F contents of lost or destroyed hospital records — Prima facie inadmissible in absence of acceptable explanation as to why original records not preserved — </w:t>
      </w:r>
      <w:proofErr w:type="spellStart"/>
      <w:r w:rsidRPr="009334C4">
        <w:rPr>
          <w:rFonts w:ascii="Arial" w:eastAsia="Times New Roman" w:hAnsi="Arial" w:cs="Arial"/>
          <w:color w:val="000000"/>
          <w:lang w:eastAsia="en-ZA"/>
        </w:rPr>
        <w:t>Semble</w:t>
      </w:r>
      <w:proofErr w:type="spellEnd"/>
      <w:r w:rsidRPr="009334C4">
        <w:rPr>
          <w:rFonts w:ascii="Arial" w:eastAsia="Times New Roman" w:hAnsi="Arial" w:cs="Arial"/>
          <w:i/>
          <w:iCs/>
          <w:color w:val="000000"/>
          <w:lang w:eastAsia="en-ZA"/>
        </w:rPr>
        <w:t>: Such failure may also result in application of</w:t>
      </w:r>
      <w:r w:rsidRPr="009334C4">
        <w:rPr>
          <w:rFonts w:ascii="Arial" w:eastAsia="Times New Roman" w:hAnsi="Arial" w:cs="Arial"/>
          <w:color w:val="000000"/>
          <w:lang w:eastAsia="en-ZA"/>
        </w:rPr>
        <w:t xml:space="preserve"> res </w:t>
      </w:r>
      <w:proofErr w:type="spellStart"/>
      <w:r w:rsidRPr="009334C4">
        <w:rPr>
          <w:rFonts w:ascii="Arial" w:eastAsia="Times New Roman" w:hAnsi="Arial" w:cs="Arial"/>
          <w:color w:val="000000"/>
          <w:lang w:eastAsia="en-ZA"/>
        </w:rPr>
        <w:t>ipsa</w:t>
      </w:r>
      <w:proofErr w:type="spellEnd"/>
      <w:r w:rsidRPr="009334C4">
        <w:rPr>
          <w:rFonts w:ascii="Arial" w:eastAsia="Times New Roman" w:hAnsi="Arial" w:cs="Arial"/>
          <w:color w:val="000000"/>
          <w:lang w:eastAsia="en-ZA"/>
        </w:rPr>
        <w:t xml:space="preserve"> </w:t>
      </w:r>
      <w:proofErr w:type="spellStart"/>
      <w:r w:rsidRPr="009334C4">
        <w:rPr>
          <w:rFonts w:ascii="Arial" w:eastAsia="Times New Roman" w:hAnsi="Arial" w:cs="Arial"/>
          <w:color w:val="000000"/>
          <w:lang w:eastAsia="en-ZA"/>
        </w:rPr>
        <w:t>loquitur</w:t>
      </w:r>
      <w:proofErr w:type="spellEnd"/>
      <w:r w:rsidRPr="009334C4">
        <w:rPr>
          <w:rFonts w:ascii="Arial" w:eastAsia="Times New Roman" w:hAnsi="Arial" w:cs="Arial"/>
          <w:color w:val="000000"/>
          <w:lang w:eastAsia="en-ZA"/>
        </w:rPr>
        <w:t xml:space="preserve"> doctrine in appropriate cases, or in adverse inferences being drawn — Law of Evidence Amendment Act 45 of 1988, s 3; National Health Act 61 of 2003, </w:t>
      </w:r>
      <w:proofErr w:type="spellStart"/>
      <w:r w:rsidRPr="009334C4">
        <w:rPr>
          <w:rFonts w:ascii="Arial" w:eastAsia="Times New Roman" w:hAnsi="Arial" w:cs="Arial"/>
          <w:color w:val="000000"/>
          <w:lang w:eastAsia="en-ZA"/>
        </w:rPr>
        <w:t>ss</w:t>
      </w:r>
      <w:proofErr w:type="spellEnd"/>
      <w:r w:rsidRPr="009334C4">
        <w:rPr>
          <w:rFonts w:ascii="Arial" w:eastAsia="Times New Roman" w:hAnsi="Arial" w:cs="Arial"/>
          <w:color w:val="000000"/>
          <w:lang w:eastAsia="en-ZA"/>
        </w:rPr>
        <w:t xml:space="preserve"> 13 and 17.</w:t>
      </w:r>
    </w:p>
    <w:p w:rsidR="009334C4" w:rsidRPr="009334C4" w:rsidRDefault="009334C4" w:rsidP="009334C4">
      <w:pPr>
        <w:spacing w:after="24" w:line="240" w:lineRule="auto"/>
        <w:rPr>
          <w:rFonts w:ascii="Arial" w:eastAsia="Times New Roman" w:hAnsi="Arial" w:cs="Arial"/>
          <w:b/>
          <w:bCs/>
          <w:color w:val="000000"/>
          <w:lang w:eastAsia="en-ZA"/>
        </w:rPr>
      </w:pPr>
      <w:bookmarkStart w:id="3" w:name="LPTOC2"/>
      <w:bookmarkEnd w:id="3"/>
    </w:p>
    <w:p w:rsidR="009334C4" w:rsidRPr="009334C4" w:rsidRDefault="009334C4" w:rsidP="009334C4">
      <w:pPr>
        <w:spacing w:after="24" w:line="240" w:lineRule="auto"/>
        <w:rPr>
          <w:rFonts w:ascii="Arial" w:eastAsia="Times New Roman" w:hAnsi="Arial" w:cs="Arial"/>
          <w:b/>
          <w:bCs/>
          <w:color w:val="000000"/>
          <w:lang w:eastAsia="en-ZA"/>
        </w:rPr>
      </w:pPr>
      <w:proofErr w:type="spellStart"/>
      <w:proofErr w:type="gramStart"/>
      <w:r w:rsidRPr="009334C4">
        <w:rPr>
          <w:rFonts w:ascii="Arial" w:eastAsia="Times New Roman" w:hAnsi="Arial" w:cs="Arial"/>
          <w:b/>
          <w:bCs/>
          <w:color w:val="000000"/>
          <w:lang w:eastAsia="en-ZA"/>
        </w:rPr>
        <w:t>Headnote</w:t>
      </w:r>
      <w:proofErr w:type="spellEnd"/>
      <w:r w:rsidRPr="009334C4">
        <w:rPr>
          <w:rFonts w:ascii="Arial" w:eastAsia="Times New Roman" w:hAnsi="Arial" w:cs="Arial"/>
          <w:b/>
          <w:bCs/>
          <w:color w:val="000000"/>
          <w:lang w:eastAsia="en-ZA"/>
        </w:rPr>
        <w:t xml:space="preserve"> :</w:t>
      </w:r>
      <w:proofErr w:type="gramEnd"/>
      <w:r w:rsidRPr="009334C4">
        <w:rPr>
          <w:rFonts w:ascii="Arial" w:eastAsia="Times New Roman" w:hAnsi="Arial" w:cs="Arial"/>
          <w:b/>
          <w:bCs/>
          <w:color w:val="000000"/>
          <w:lang w:eastAsia="en-ZA"/>
        </w:rPr>
        <w:t xml:space="preserve"> </w:t>
      </w:r>
      <w:proofErr w:type="spellStart"/>
      <w:r w:rsidRPr="009334C4">
        <w:rPr>
          <w:rFonts w:ascii="Arial" w:eastAsia="Times New Roman" w:hAnsi="Arial" w:cs="Arial"/>
          <w:b/>
          <w:bCs/>
          <w:color w:val="000000"/>
          <w:lang w:eastAsia="en-ZA"/>
        </w:rPr>
        <w:t>Kopnota</w:t>
      </w:r>
      <w:proofErr w:type="spellEnd"/>
    </w:p>
    <w:p w:rsidR="009334C4" w:rsidRPr="009334C4" w:rsidRDefault="009334C4" w:rsidP="009334C4">
      <w:pPr>
        <w:spacing w:after="0" w:line="240" w:lineRule="auto"/>
        <w:rPr>
          <w:rFonts w:ascii="Arial" w:eastAsia="Times New Roman" w:hAnsi="Arial" w:cs="Arial"/>
          <w:color w:val="000000"/>
          <w:lang w:eastAsia="en-ZA"/>
        </w:rPr>
      </w:pPr>
      <w:r w:rsidRPr="009334C4">
        <w:rPr>
          <w:rFonts w:ascii="Arial" w:eastAsia="Times New Roman" w:hAnsi="Arial" w:cs="Arial"/>
          <w:color w:val="000000"/>
          <w:lang w:eastAsia="en-ZA"/>
        </w:rPr>
        <w:t>G This case concerns the merits of a damages claim on behalf of a minor for a brain injury he sustained during his birth at a provincial hospital. It was the plaintiff's case that the injury was caused by the </w:t>
      </w:r>
      <w:bookmarkStart w:id="4" w:name="LPHit3"/>
      <w:bookmarkEnd w:id="4"/>
      <w:r w:rsidRPr="009334C4">
        <w:rPr>
          <w:rFonts w:ascii="Arial" w:eastAsia="Times New Roman" w:hAnsi="Arial" w:cs="Arial"/>
          <w:color w:val="000000"/>
          <w:lang w:eastAsia="en-ZA"/>
        </w:rPr>
        <w:t xml:space="preserve">negligence — on a number of grounds — of the maternity </w:t>
      </w:r>
      <w:proofErr w:type="spellStart"/>
      <w:r w:rsidRPr="009334C4">
        <w:rPr>
          <w:rFonts w:ascii="Arial" w:eastAsia="Times New Roman" w:hAnsi="Arial" w:cs="Arial"/>
          <w:color w:val="000000"/>
          <w:lang w:eastAsia="en-ZA"/>
        </w:rPr>
        <w:t>ward's</w:t>
      </w:r>
      <w:proofErr w:type="spellEnd"/>
      <w:r w:rsidRPr="009334C4">
        <w:rPr>
          <w:rFonts w:ascii="Arial" w:eastAsia="Times New Roman" w:hAnsi="Arial" w:cs="Arial"/>
          <w:color w:val="000000"/>
          <w:lang w:eastAsia="en-ZA"/>
        </w:rPr>
        <w:t> </w:t>
      </w:r>
      <w:bookmarkStart w:id="5" w:name="LPHit4"/>
      <w:bookmarkEnd w:id="5"/>
      <w:r w:rsidRPr="009334C4">
        <w:rPr>
          <w:rFonts w:ascii="Arial" w:eastAsia="Times New Roman" w:hAnsi="Arial" w:cs="Arial"/>
          <w:color w:val="000000"/>
          <w:lang w:eastAsia="en-ZA"/>
        </w:rPr>
        <w:t>medical staff. The defendant (the MEC) conceded that the injury was caused by a prolonged constriction or H blockage of blood supply to the brain but disputed that it was due to any </w:t>
      </w:r>
      <w:bookmarkStart w:id="6" w:name="LPHit5"/>
      <w:bookmarkEnd w:id="6"/>
      <w:r w:rsidRPr="009334C4">
        <w:rPr>
          <w:rFonts w:ascii="Arial" w:eastAsia="Times New Roman" w:hAnsi="Arial" w:cs="Arial"/>
          <w:color w:val="000000"/>
          <w:lang w:eastAsia="en-ZA"/>
        </w:rPr>
        <w:t>negligence on the part of the nursing staff; and that even if they were negligent, it did not cause or contribute to the injury because it was common cause that the brain of the foetus also suffered a stroke during labour.</w:t>
      </w:r>
    </w:p>
    <w:p w:rsidR="009334C4" w:rsidRPr="009334C4" w:rsidRDefault="009334C4" w:rsidP="009334C4">
      <w:pPr>
        <w:spacing w:after="0" w:line="240" w:lineRule="auto"/>
        <w:rPr>
          <w:rFonts w:ascii="Arial" w:eastAsia="Times New Roman" w:hAnsi="Arial" w:cs="Arial"/>
          <w:color w:val="000000"/>
          <w:lang w:eastAsia="en-ZA"/>
        </w:rPr>
      </w:pPr>
      <w:r w:rsidRPr="009334C4">
        <w:rPr>
          <w:rFonts w:ascii="Arial" w:eastAsia="Times New Roman" w:hAnsi="Arial" w:cs="Arial"/>
          <w:color w:val="000000"/>
          <w:lang w:eastAsia="en-ZA"/>
        </w:rPr>
        <w:t>I The court confined its enquiry to the ground that </w:t>
      </w:r>
      <w:bookmarkStart w:id="7" w:name="LPHit6"/>
      <w:bookmarkEnd w:id="7"/>
      <w:r w:rsidRPr="009334C4">
        <w:rPr>
          <w:rFonts w:ascii="Arial" w:eastAsia="Times New Roman" w:hAnsi="Arial" w:cs="Arial"/>
          <w:color w:val="000000"/>
          <w:lang w:eastAsia="en-ZA"/>
        </w:rPr>
        <w:t xml:space="preserve">medical staff had negligently failed in their duty to properly monitor or review for foetal distress during the approximately five-hour period between when </w:t>
      </w:r>
      <w:proofErr w:type="spellStart"/>
      <w:r w:rsidRPr="009334C4">
        <w:rPr>
          <w:rFonts w:ascii="Arial" w:eastAsia="Times New Roman" w:hAnsi="Arial" w:cs="Arial"/>
          <w:color w:val="000000"/>
          <w:lang w:eastAsia="en-ZA"/>
        </w:rPr>
        <w:t>Syntocinon</w:t>
      </w:r>
      <w:proofErr w:type="spellEnd"/>
      <w:r w:rsidRPr="009334C4">
        <w:rPr>
          <w:rFonts w:ascii="Arial" w:eastAsia="Times New Roman" w:hAnsi="Arial" w:cs="Arial"/>
          <w:color w:val="000000"/>
          <w:lang w:eastAsia="en-ZA"/>
        </w:rPr>
        <w:t xml:space="preserve"> — a scheduled drug with admittedly dangerous effects — had been administered to induce labour, and delivery. Crucially, the recordings of the cardio-topographic monitoring machine (CTG), on which the mother (the plaintiff) had been placed to monitor and record foetal distress, went missing without J any explanation. This left the </w:t>
      </w:r>
      <w:bookmarkStart w:id="8" w:name="LPHit7"/>
      <w:bookmarkEnd w:id="8"/>
      <w:r w:rsidRPr="009334C4">
        <w:rPr>
          <w:rFonts w:ascii="Arial" w:eastAsia="Times New Roman" w:hAnsi="Arial" w:cs="Arial"/>
          <w:color w:val="000000"/>
          <w:lang w:eastAsia="en-ZA"/>
        </w:rPr>
        <w:t>medical staff's (alleged) noting of the CTG data</w:t>
      </w:r>
    </w:p>
    <w:p w:rsidR="009334C4" w:rsidRPr="009334C4" w:rsidRDefault="009334C4" w:rsidP="009334C4">
      <w:pPr>
        <w:spacing w:after="24" w:line="240" w:lineRule="auto"/>
        <w:jc w:val="right"/>
        <w:rPr>
          <w:rFonts w:ascii="Arial" w:eastAsia="Times New Roman" w:hAnsi="Arial" w:cs="Arial"/>
          <w:b/>
          <w:bCs/>
          <w:color w:val="808080"/>
          <w:lang w:eastAsia="en-ZA"/>
        </w:rPr>
      </w:pPr>
      <w:r w:rsidRPr="009334C4">
        <w:rPr>
          <w:rFonts w:ascii="Arial" w:eastAsia="Times New Roman" w:hAnsi="Arial" w:cs="Arial"/>
          <w:b/>
          <w:bCs/>
          <w:color w:val="808080"/>
          <w:lang w:eastAsia="en-ZA"/>
        </w:rPr>
        <w:t>2015 (3) SA p267</w:t>
      </w:r>
    </w:p>
    <w:p w:rsidR="009334C4" w:rsidRPr="009334C4" w:rsidRDefault="009334C4" w:rsidP="009334C4">
      <w:pPr>
        <w:spacing w:after="0" w:line="240" w:lineRule="auto"/>
        <w:rPr>
          <w:rFonts w:ascii="Arial" w:eastAsia="Times New Roman" w:hAnsi="Arial" w:cs="Arial"/>
          <w:color w:val="000000"/>
          <w:lang w:eastAsia="en-ZA"/>
        </w:rPr>
      </w:pPr>
      <w:proofErr w:type="gramStart"/>
      <w:r w:rsidRPr="009334C4">
        <w:rPr>
          <w:rFonts w:ascii="Arial" w:eastAsia="Times New Roman" w:hAnsi="Arial" w:cs="Arial"/>
          <w:color w:val="000000"/>
          <w:lang w:eastAsia="en-ZA"/>
        </w:rPr>
        <w:lastRenderedPageBreak/>
        <w:t>on</w:t>
      </w:r>
      <w:proofErr w:type="gramEnd"/>
      <w:r w:rsidRPr="009334C4">
        <w:rPr>
          <w:rFonts w:ascii="Arial" w:eastAsia="Times New Roman" w:hAnsi="Arial" w:cs="Arial"/>
          <w:color w:val="000000"/>
          <w:lang w:eastAsia="en-ZA"/>
        </w:rPr>
        <w:t xml:space="preserve"> the labour </w:t>
      </w:r>
      <w:proofErr w:type="spellStart"/>
      <w:r w:rsidRPr="009334C4">
        <w:rPr>
          <w:rFonts w:ascii="Arial" w:eastAsia="Times New Roman" w:hAnsi="Arial" w:cs="Arial"/>
          <w:color w:val="000000"/>
          <w:lang w:eastAsia="en-ZA"/>
        </w:rPr>
        <w:t>partogram</w:t>
      </w:r>
      <w:proofErr w:type="spellEnd"/>
      <w:r w:rsidRPr="009334C4">
        <w:rPr>
          <w:rFonts w:ascii="Arial" w:eastAsia="Times New Roman" w:hAnsi="Arial" w:cs="Arial"/>
          <w:color w:val="000000"/>
          <w:lang w:eastAsia="en-ZA"/>
        </w:rPr>
        <w:t xml:space="preserve"> — a half-hourly plotting of foetal vital signs — and A their vive voce evidence of its (alleged) content as the only evidence of foetal distress. This evidence, contended the defendant (the MEC), demonstrated that the </w:t>
      </w:r>
      <w:bookmarkStart w:id="9" w:name="LPHit8"/>
      <w:bookmarkEnd w:id="9"/>
      <w:r w:rsidRPr="009334C4">
        <w:rPr>
          <w:rFonts w:ascii="Arial" w:eastAsia="Times New Roman" w:hAnsi="Arial" w:cs="Arial"/>
          <w:color w:val="000000"/>
          <w:lang w:eastAsia="en-ZA"/>
        </w:rPr>
        <w:t>medical staff followed proper procedures in monitoring the patient and foetus.</w:t>
      </w:r>
    </w:p>
    <w:p w:rsidR="009334C4" w:rsidRPr="009334C4" w:rsidRDefault="009334C4" w:rsidP="009334C4">
      <w:pPr>
        <w:spacing w:after="0" w:line="240" w:lineRule="auto"/>
        <w:rPr>
          <w:rFonts w:ascii="Arial" w:eastAsia="Times New Roman" w:hAnsi="Arial" w:cs="Arial"/>
          <w:i/>
          <w:iCs/>
          <w:color w:val="000000"/>
          <w:lang w:eastAsia="en-ZA"/>
        </w:rPr>
      </w:pPr>
    </w:p>
    <w:p w:rsidR="009334C4" w:rsidRPr="009334C4" w:rsidRDefault="009334C4" w:rsidP="009334C4">
      <w:pPr>
        <w:spacing w:after="0" w:line="240" w:lineRule="auto"/>
        <w:rPr>
          <w:rFonts w:ascii="Arial" w:eastAsia="Times New Roman" w:hAnsi="Arial" w:cs="Arial"/>
          <w:color w:val="000000"/>
          <w:lang w:eastAsia="en-ZA"/>
        </w:rPr>
      </w:pPr>
      <w:proofErr w:type="gramStart"/>
      <w:r w:rsidRPr="009334C4">
        <w:rPr>
          <w:rFonts w:ascii="Arial" w:eastAsia="Times New Roman" w:hAnsi="Arial" w:cs="Arial"/>
          <w:i/>
          <w:iCs/>
          <w:color w:val="000000"/>
          <w:lang w:eastAsia="en-ZA"/>
        </w:rPr>
        <w:t>Held</w:t>
      </w:r>
      <w:r w:rsidRPr="009334C4">
        <w:rPr>
          <w:rFonts w:ascii="Arial" w:eastAsia="Times New Roman" w:hAnsi="Arial" w:cs="Arial"/>
          <w:color w:val="000000"/>
          <w:lang w:eastAsia="en-ZA"/>
        </w:rPr>
        <w:t xml:space="preserve">: The CTG records constituted the original and foundational documentary B evidence, and the subsequent noting of the CTG data on the labour </w:t>
      </w:r>
      <w:proofErr w:type="spellStart"/>
      <w:r w:rsidRPr="009334C4">
        <w:rPr>
          <w:rFonts w:ascii="Arial" w:eastAsia="Times New Roman" w:hAnsi="Arial" w:cs="Arial"/>
          <w:color w:val="000000"/>
          <w:lang w:eastAsia="en-ZA"/>
        </w:rPr>
        <w:t>partogram</w:t>
      </w:r>
      <w:proofErr w:type="spellEnd"/>
      <w:r w:rsidRPr="009334C4">
        <w:rPr>
          <w:rFonts w:ascii="Arial" w:eastAsia="Times New Roman" w:hAnsi="Arial" w:cs="Arial"/>
          <w:color w:val="000000"/>
          <w:lang w:eastAsia="en-ZA"/>
        </w:rPr>
        <w:t xml:space="preserve"> and the vive voce evidence of its contents were hearsay evidence.</w:t>
      </w:r>
      <w:proofErr w:type="gramEnd"/>
      <w:r w:rsidRPr="009334C4">
        <w:rPr>
          <w:rFonts w:ascii="Arial" w:eastAsia="Times New Roman" w:hAnsi="Arial" w:cs="Arial"/>
          <w:color w:val="000000"/>
          <w:lang w:eastAsia="en-ZA"/>
        </w:rPr>
        <w:t xml:space="preserve"> A court would, in exercising its discretion (under s 3 of the Law of Evidence Amendment Act 45 of 1988) to admit hearsay evidence, have to take into consideration that it would prima facie run counter to the interests of justice to condone, without an acceptable explanation, a failure on the part of a C state institution to comply with a positive obligation imposed by statute — in this case the obligation under </w:t>
      </w:r>
      <w:proofErr w:type="spellStart"/>
      <w:r w:rsidRPr="009334C4">
        <w:rPr>
          <w:rFonts w:ascii="Arial" w:eastAsia="Times New Roman" w:hAnsi="Arial" w:cs="Arial"/>
          <w:color w:val="000000"/>
          <w:lang w:eastAsia="en-ZA"/>
        </w:rPr>
        <w:t>ss</w:t>
      </w:r>
      <w:proofErr w:type="spellEnd"/>
      <w:r w:rsidRPr="009334C4">
        <w:rPr>
          <w:rFonts w:ascii="Arial" w:eastAsia="Times New Roman" w:hAnsi="Arial" w:cs="Arial"/>
          <w:color w:val="000000"/>
          <w:lang w:eastAsia="en-ZA"/>
        </w:rPr>
        <w:t xml:space="preserve"> 13 and 17 of the National Health Act 61 of 2003 to inter alia ensure that records were preserved. This, together with the fact that no explanation for the disappearance of the CTG recordings was offered, and a high risk of unreliability (because the </w:t>
      </w:r>
      <w:proofErr w:type="spellStart"/>
      <w:r w:rsidRPr="009334C4">
        <w:rPr>
          <w:rFonts w:ascii="Arial" w:eastAsia="Times New Roman" w:hAnsi="Arial" w:cs="Arial"/>
          <w:color w:val="000000"/>
          <w:lang w:eastAsia="en-ZA"/>
        </w:rPr>
        <w:t>partogram</w:t>
      </w:r>
      <w:proofErr w:type="spellEnd"/>
      <w:r w:rsidRPr="009334C4">
        <w:rPr>
          <w:rFonts w:ascii="Arial" w:eastAsia="Times New Roman" w:hAnsi="Arial" w:cs="Arial"/>
          <w:color w:val="000000"/>
          <w:lang w:eastAsia="en-ZA"/>
        </w:rPr>
        <w:t xml:space="preserve"> had been D tampered with and significantly altered) would render both the </w:t>
      </w:r>
      <w:proofErr w:type="spellStart"/>
      <w:r w:rsidRPr="009334C4">
        <w:rPr>
          <w:rFonts w:ascii="Arial" w:eastAsia="Times New Roman" w:hAnsi="Arial" w:cs="Arial"/>
          <w:color w:val="000000"/>
          <w:lang w:eastAsia="en-ZA"/>
        </w:rPr>
        <w:t>partogram</w:t>
      </w:r>
      <w:proofErr w:type="spellEnd"/>
      <w:r w:rsidRPr="009334C4">
        <w:rPr>
          <w:rFonts w:ascii="Arial" w:eastAsia="Times New Roman" w:hAnsi="Arial" w:cs="Arial"/>
          <w:color w:val="000000"/>
          <w:lang w:eastAsia="en-ZA"/>
        </w:rPr>
        <w:t xml:space="preserve"> and the nursing sister's evidence as to what the CTG in fact recorded inadmissible hearsay. And, if it were correctly to be admitted, it fell to be rejected because she (the sister) was a dishonest witness who covered up, both in her evidence and by altering the </w:t>
      </w:r>
      <w:proofErr w:type="spellStart"/>
      <w:r w:rsidRPr="009334C4">
        <w:rPr>
          <w:rFonts w:ascii="Arial" w:eastAsia="Times New Roman" w:hAnsi="Arial" w:cs="Arial"/>
          <w:color w:val="000000"/>
          <w:lang w:eastAsia="en-ZA"/>
        </w:rPr>
        <w:t>partogram</w:t>
      </w:r>
      <w:proofErr w:type="spellEnd"/>
      <w:r w:rsidRPr="009334C4">
        <w:rPr>
          <w:rFonts w:ascii="Arial" w:eastAsia="Times New Roman" w:hAnsi="Arial" w:cs="Arial"/>
          <w:color w:val="000000"/>
          <w:lang w:eastAsia="en-ZA"/>
        </w:rPr>
        <w:t xml:space="preserve">, the failure to properly monitor the mother and foetus. It was not disputed that </w:t>
      </w:r>
      <w:proofErr w:type="spellStart"/>
      <w:r w:rsidRPr="009334C4">
        <w:rPr>
          <w:rFonts w:ascii="Arial" w:eastAsia="Times New Roman" w:hAnsi="Arial" w:cs="Arial"/>
          <w:color w:val="000000"/>
          <w:lang w:eastAsia="en-ZA"/>
        </w:rPr>
        <w:t>Syntocinon</w:t>
      </w:r>
      <w:proofErr w:type="spellEnd"/>
      <w:r w:rsidRPr="009334C4">
        <w:rPr>
          <w:rFonts w:ascii="Arial" w:eastAsia="Times New Roman" w:hAnsi="Arial" w:cs="Arial"/>
          <w:color w:val="000000"/>
          <w:lang w:eastAsia="en-ZA"/>
        </w:rPr>
        <w:t xml:space="preserve"> was E per se a dangerous drug that should be administered with care and constant monitoring. Also, since the defendant accepted that there was foetal distress, it would have been evident on the CTG and the staff should have taken remedial action. Accordingly, the plaintiff had demonstrated that the defendant was negligent in failing to properly monitor and review the progress of labour at least from the time that </w:t>
      </w:r>
      <w:proofErr w:type="spellStart"/>
      <w:r w:rsidRPr="009334C4">
        <w:rPr>
          <w:rFonts w:ascii="Arial" w:eastAsia="Times New Roman" w:hAnsi="Arial" w:cs="Arial"/>
          <w:color w:val="000000"/>
          <w:lang w:eastAsia="en-ZA"/>
        </w:rPr>
        <w:t>Syntocinon</w:t>
      </w:r>
      <w:proofErr w:type="spellEnd"/>
      <w:r w:rsidRPr="009334C4">
        <w:rPr>
          <w:rFonts w:ascii="Arial" w:eastAsia="Times New Roman" w:hAnsi="Arial" w:cs="Arial"/>
          <w:color w:val="000000"/>
          <w:lang w:eastAsia="en-ZA"/>
        </w:rPr>
        <w:t xml:space="preserve"> was administered. F The evidence moreover demonstrated that the stroke was not an independent event but rather triggered by foetal distress — the depletion of oxygen and glucose to the child's brain resulting from the mother's contractions or strangulation by his umbilical cord. </w:t>
      </w:r>
      <w:proofErr w:type="gramStart"/>
      <w:r w:rsidRPr="009334C4">
        <w:rPr>
          <w:rFonts w:ascii="Arial" w:eastAsia="Times New Roman" w:hAnsi="Arial" w:cs="Arial"/>
          <w:color w:val="000000"/>
          <w:lang w:eastAsia="en-ZA"/>
        </w:rPr>
        <w:t>(Paragraphs [35], [37], [43] – [44], [75], [77] – [78] and [80] – [83] at 274I, 275E – G, 277E – 278D, 283I, 284H – J and 285B – F.)</w:t>
      </w:r>
      <w:proofErr w:type="gramEnd"/>
      <w:r w:rsidRPr="009334C4">
        <w:rPr>
          <w:rFonts w:ascii="Arial" w:eastAsia="Times New Roman" w:hAnsi="Arial" w:cs="Arial"/>
          <w:color w:val="000000"/>
          <w:lang w:eastAsia="en-ZA"/>
        </w:rPr>
        <w:t> G</w:t>
      </w:r>
    </w:p>
    <w:p w:rsidR="009334C4" w:rsidRPr="009334C4" w:rsidRDefault="009334C4" w:rsidP="009334C4">
      <w:pPr>
        <w:spacing w:after="0" w:line="240" w:lineRule="auto"/>
        <w:rPr>
          <w:rFonts w:ascii="Arial" w:eastAsia="Times New Roman" w:hAnsi="Arial" w:cs="Arial"/>
          <w:i/>
          <w:iCs/>
          <w:color w:val="000000"/>
          <w:lang w:eastAsia="en-ZA"/>
        </w:rPr>
      </w:pPr>
    </w:p>
    <w:p w:rsidR="009334C4" w:rsidRPr="009334C4" w:rsidRDefault="009334C4" w:rsidP="009334C4">
      <w:pPr>
        <w:spacing w:after="0" w:line="240" w:lineRule="auto"/>
        <w:rPr>
          <w:rFonts w:ascii="Arial" w:eastAsia="Times New Roman" w:hAnsi="Arial" w:cs="Arial"/>
          <w:color w:val="000000"/>
          <w:lang w:eastAsia="en-ZA"/>
        </w:rPr>
      </w:pPr>
      <w:proofErr w:type="spellStart"/>
      <w:r w:rsidRPr="009334C4">
        <w:rPr>
          <w:rFonts w:ascii="Arial" w:eastAsia="Times New Roman" w:hAnsi="Arial" w:cs="Arial"/>
          <w:i/>
          <w:iCs/>
          <w:color w:val="000000"/>
          <w:lang w:eastAsia="en-ZA"/>
        </w:rPr>
        <w:t>Semble</w:t>
      </w:r>
      <w:proofErr w:type="spellEnd"/>
      <w:r w:rsidRPr="009334C4">
        <w:rPr>
          <w:rFonts w:ascii="Arial" w:eastAsia="Times New Roman" w:hAnsi="Arial" w:cs="Arial"/>
          <w:color w:val="000000"/>
          <w:lang w:eastAsia="en-ZA"/>
        </w:rPr>
        <w:t>: The inadmissibility of hearsay testimony was not the only consequence resulting from the failure to produce the original </w:t>
      </w:r>
      <w:bookmarkStart w:id="10" w:name="LPHit9"/>
      <w:bookmarkEnd w:id="10"/>
      <w:r w:rsidRPr="009334C4">
        <w:rPr>
          <w:rFonts w:ascii="Arial" w:eastAsia="Times New Roman" w:hAnsi="Arial" w:cs="Arial"/>
          <w:color w:val="000000"/>
          <w:lang w:eastAsia="en-ZA"/>
        </w:rPr>
        <w:t>medical records which were under a hospital's control and where there was no acceptable explanation for its disappearance or alleged destruction. Such a failure may also result in — (</w:t>
      </w:r>
      <w:proofErr w:type="spellStart"/>
      <w:r w:rsidRPr="009334C4">
        <w:rPr>
          <w:rFonts w:ascii="Arial" w:eastAsia="Times New Roman" w:hAnsi="Arial" w:cs="Arial"/>
          <w:color w:val="000000"/>
          <w:lang w:eastAsia="en-ZA"/>
        </w:rPr>
        <w:t>i</w:t>
      </w:r>
      <w:proofErr w:type="spellEnd"/>
      <w:r w:rsidRPr="009334C4">
        <w:rPr>
          <w:rFonts w:ascii="Arial" w:eastAsia="Times New Roman" w:hAnsi="Arial" w:cs="Arial"/>
          <w:color w:val="000000"/>
          <w:lang w:eastAsia="en-ZA"/>
        </w:rPr>
        <w:t>) an adverse inference being drawn that the missing records H support the plaintiff's case in matters where the defendant produced other contemporaneous documents that had been altered, contained manufactured data or were otherwise questionable; and (ii) the application of the doctrine of </w:t>
      </w:r>
      <w:r w:rsidRPr="009334C4">
        <w:rPr>
          <w:rFonts w:ascii="Arial" w:eastAsia="Times New Roman" w:hAnsi="Arial" w:cs="Arial"/>
          <w:i/>
          <w:iCs/>
          <w:color w:val="000000"/>
          <w:lang w:eastAsia="en-ZA"/>
        </w:rPr>
        <w:t xml:space="preserve">res </w:t>
      </w:r>
      <w:proofErr w:type="spellStart"/>
      <w:r w:rsidRPr="009334C4">
        <w:rPr>
          <w:rFonts w:ascii="Arial" w:eastAsia="Times New Roman" w:hAnsi="Arial" w:cs="Arial"/>
          <w:i/>
          <w:iCs/>
          <w:color w:val="000000"/>
          <w:lang w:eastAsia="en-ZA"/>
        </w:rPr>
        <w:t>ipsa</w:t>
      </w:r>
      <w:proofErr w:type="spellEnd"/>
      <w:r w:rsidRPr="009334C4">
        <w:rPr>
          <w:rFonts w:ascii="Arial" w:eastAsia="Times New Roman" w:hAnsi="Arial" w:cs="Arial"/>
          <w:i/>
          <w:iCs/>
          <w:color w:val="000000"/>
          <w:lang w:eastAsia="en-ZA"/>
        </w:rPr>
        <w:t xml:space="preserve"> </w:t>
      </w:r>
      <w:proofErr w:type="spellStart"/>
      <w:r w:rsidRPr="009334C4">
        <w:rPr>
          <w:rFonts w:ascii="Arial" w:eastAsia="Times New Roman" w:hAnsi="Arial" w:cs="Arial"/>
          <w:i/>
          <w:iCs/>
          <w:color w:val="000000"/>
          <w:lang w:eastAsia="en-ZA"/>
        </w:rPr>
        <w:t>loquitur</w:t>
      </w:r>
      <w:proofErr w:type="spellEnd"/>
      <w:r w:rsidRPr="009334C4">
        <w:rPr>
          <w:rFonts w:ascii="Arial" w:eastAsia="Times New Roman" w:hAnsi="Arial" w:cs="Arial"/>
          <w:color w:val="000000"/>
          <w:lang w:eastAsia="en-ZA"/>
        </w:rPr>
        <w:t> in appropriate cases. (Here the doctrine of </w:t>
      </w:r>
      <w:r w:rsidRPr="009334C4">
        <w:rPr>
          <w:rFonts w:ascii="Arial" w:eastAsia="Times New Roman" w:hAnsi="Arial" w:cs="Arial"/>
          <w:i/>
          <w:iCs/>
          <w:color w:val="000000"/>
          <w:lang w:eastAsia="en-ZA"/>
        </w:rPr>
        <w:t xml:space="preserve">res </w:t>
      </w:r>
      <w:proofErr w:type="spellStart"/>
      <w:r w:rsidRPr="009334C4">
        <w:rPr>
          <w:rFonts w:ascii="Arial" w:eastAsia="Times New Roman" w:hAnsi="Arial" w:cs="Arial"/>
          <w:i/>
          <w:iCs/>
          <w:color w:val="000000"/>
          <w:lang w:eastAsia="en-ZA"/>
        </w:rPr>
        <w:t>ipsa</w:t>
      </w:r>
      <w:proofErr w:type="spellEnd"/>
      <w:r w:rsidRPr="009334C4">
        <w:rPr>
          <w:rFonts w:ascii="Arial" w:eastAsia="Times New Roman" w:hAnsi="Arial" w:cs="Arial"/>
          <w:i/>
          <w:iCs/>
          <w:color w:val="000000"/>
          <w:lang w:eastAsia="en-ZA"/>
        </w:rPr>
        <w:t xml:space="preserve"> </w:t>
      </w:r>
      <w:proofErr w:type="spellStart"/>
      <w:r w:rsidRPr="009334C4">
        <w:rPr>
          <w:rFonts w:ascii="Arial" w:eastAsia="Times New Roman" w:hAnsi="Arial" w:cs="Arial"/>
          <w:i/>
          <w:iCs/>
          <w:color w:val="000000"/>
          <w:lang w:eastAsia="en-ZA"/>
        </w:rPr>
        <w:t>loquitur</w:t>
      </w:r>
      <w:proofErr w:type="spellEnd"/>
      <w:r w:rsidRPr="009334C4">
        <w:rPr>
          <w:rFonts w:ascii="Arial" w:eastAsia="Times New Roman" w:hAnsi="Arial" w:cs="Arial"/>
          <w:color w:val="000000"/>
          <w:lang w:eastAsia="en-ZA"/>
        </w:rPr>
        <w:t xml:space="preserve"> did not apply because the defence was able to demonstrate that the I foetus suffered a stroke which may or may not inevitably have resulted in the injury; and the court was satisfied that, even without drawing inferences from the failure to produce the CTG recordings, the defendant's nursing staff failed in their duty to monitor the mother and foetus, either properly or at all, after </w:t>
      </w:r>
      <w:proofErr w:type="spellStart"/>
      <w:r w:rsidRPr="009334C4">
        <w:rPr>
          <w:rFonts w:ascii="Arial" w:eastAsia="Times New Roman" w:hAnsi="Arial" w:cs="Arial"/>
          <w:color w:val="000000"/>
          <w:lang w:eastAsia="en-ZA"/>
        </w:rPr>
        <w:t>Syntocinon</w:t>
      </w:r>
      <w:proofErr w:type="spellEnd"/>
      <w:r w:rsidRPr="009334C4">
        <w:rPr>
          <w:rFonts w:ascii="Arial" w:eastAsia="Times New Roman" w:hAnsi="Arial" w:cs="Arial"/>
          <w:color w:val="000000"/>
          <w:lang w:eastAsia="en-ZA"/>
        </w:rPr>
        <w:t xml:space="preserve"> was administered.) </w:t>
      </w:r>
      <w:proofErr w:type="gramStart"/>
      <w:r w:rsidRPr="009334C4">
        <w:rPr>
          <w:rFonts w:ascii="Arial" w:eastAsia="Times New Roman" w:hAnsi="Arial" w:cs="Arial"/>
          <w:color w:val="000000"/>
          <w:lang w:eastAsia="en-ZA"/>
        </w:rPr>
        <w:t>(Paragraphs [45], [47] – [48] and [70] at 278E – 279G and 283A – B.)</w:t>
      </w:r>
      <w:proofErr w:type="gramEnd"/>
      <w:r w:rsidRPr="009334C4">
        <w:rPr>
          <w:rFonts w:ascii="Arial" w:eastAsia="Times New Roman" w:hAnsi="Arial" w:cs="Arial"/>
          <w:color w:val="000000"/>
          <w:lang w:eastAsia="en-ZA"/>
        </w:rPr>
        <w:t> J</w:t>
      </w:r>
    </w:p>
    <w:p w:rsidR="009334C4" w:rsidRPr="009334C4" w:rsidRDefault="009334C4" w:rsidP="009334C4">
      <w:pPr>
        <w:spacing w:after="24" w:line="240" w:lineRule="auto"/>
        <w:jc w:val="right"/>
        <w:rPr>
          <w:rFonts w:ascii="Arial" w:eastAsia="Times New Roman" w:hAnsi="Arial" w:cs="Arial"/>
          <w:b/>
          <w:bCs/>
          <w:color w:val="808080"/>
          <w:lang w:eastAsia="en-ZA"/>
        </w:rPr>
      </w:pPr>
      <w:r w:rsidRPr="009334C4">
        <w:rPr>
          <w:rFonts w:ascii="Arial" w:eastAsia="Times New Roman" w:hAnsi="Arial" w:cs="Arial"/>
          <w:b/>
          <w:bCs/>
          <w:color w:val="808080"/>
          <w:lang w:eastAsia="en-ZA"/>
        </w:rPr>
        <w:t>2015 (3) SA p268</w:t>
      </w:r>
    </w:p>
    <w:p w:rsidR="009334C4" w:rsidRPr="009334C4" w:rsidRDefault="009334C4" w:rsidP="009334C4">
      <w:pPr>
        <w:spacing w:after="24" w:line="240" w:lineRule="auto"/>
        <w:rPr>
          <w:rFonts w:ascii="Arial" w:eastAsia="Times New Roman" w:hAnsi="Arial" w:cs="Arial"/>
          <w:b/>
          <w:bCs/>
          <w:color w:val="000000"/>
          <w:lang w:eastAsia="en-ZA"/>
        </w:rPr>
      </w:pPr>
      <w:bookmarkStart w:id="11" w:name="LPTOC3"/>
      <w:bookmarkEnd w:id="11"/>
      <w:r w:rsidRPr="009334C4">
        <w:rPr>
          <w:rFonts w:ascii="Arial" w:eastAsia="Times New Roman" w:hAnsi="Arial" w:cs="Arial"/>
          <w:b/>
          <w:bCs/>
          <w:color w:val="000000"/>
          <w:lang w:eastAsia="en-ZA"/>
        </w:rPr>
        <w:t>Cases Considered</w:t>
      </w:r>
    </w:p>
    <w:p w:rsidR="009334C4" w:rsidRPr="009334C4" w:rsidRDefault="009334C4" w:rsidP="009334C4">
      <w:pPr>
        <w:spacing w:after="0" w:line="240" w:lineRule="auto"/>
        <w:rPr>
          <w:rFonts w:ascii="Arial" w:eastAsia="Times New Roman" w:hAnsi="Arial" w:cs="Arial"/>
          <w:lang w:eastAsia="en-ZA"/>
        </w:rPr>
      </w:pPr>
      <w:r w:rsidRPr="009334C4">
        <w:rPr>
          <w:rFonts w:ascii="Arial" w:eastAsia="Times New Roman" w:hAnsi="Arial" w:cs="Arial"/>
          <w:color w:val="000000"/>
          <w:lang w:eastAsia="en-ZA"/>
        </w:rPr>
        <w:br/>
      </w:r>
      <w:proofErr w:type="gramStart"/>
      <w:r w:rsidRPr="009334C4">
        <w:rPr>
          <w:rFonts w:ascii="Arial" w:eastAsia="Times New Roman" w:hAnsi="Arial" w:cs="Arial"/>
          <w:color w:val="000000"/>
          <w:lang w:eastAsia="en-ZA"/>
        </w:rPr>
        <w:t>A</w:t>
      </w:r>
      <w:proofErr w:type="gramEnd"/>
      <w:r w:rsidRPr="009334C4">
        <w:rPr>
          <w:rFonts w:ascii="Arial" w:eastAsia="Times New Roman" w:hAnsi="Arial" w:cs="Arial"/>
          <w:color w:val="000000"/>
          <w:lang w:eastAsia="en-ZA"/>
        </w:rPr>
        <w:t> </w:t>
      </w:r>
      <w:r w:rsidRPr="009334C4">
        <w:rPr>
          <w:rFonts w:ascii="Arial" w:eastAsia="Times New Roman" w:hAnsi="Arial" w:cs="Arial"/>
          <w:b/>
          <w:bCs/>
          <w:color w:val="000000"/>
          <w:lang w:eastAsia="en-ZA"/>
        </w:rPr>
        <w:t>Annotations</w:t>
      </w:r>
    </w:p>
    <w:p w:rsidR="009334C4" w:rsidRPr="009334C4" w:rsidRDefault="009334C4" w:rsidP="009334C4">
      <w:pPr>
        <w:spacing w:after="0" w:line="240" w:lineRule="auto"/>
        <w:rPr>
          <w:rFonts w:ascii="Arial" w:eastAsia="Times New Roman" w:hAnsi="Arial" w:cs="Arial"/>
          <w:color w:val="000000"/>
          <w:lang w:eastAsia="en-ZA"/>
        </w:rPr>
      </w:pPr>
      <w:r w:rsidRPr="009334C4">
        <w:rPr>
          <w:rFonts w:ascii="Arial" w:eastAsia="Times New Roman" w:hAnsi="Arial" w:cs="Arial"/>
          <w:color w:val="000000"/>
          <w:lang w:eastAsia="en-ZA"/>
        </w:rPr>
        <w:t>Case law</w:t>
      </w:r>
    </w:p>
    <w:p w:rsidR="009334C4" w:rsidRPr="009334C4" w:rsidRDefault="009334C4" w:rsidP="009334C4">
      <w:pPr>
        <w:spacing w:after="0" w:line="240" w:lineRule="auto"/>
        <w:rPr>
          <w:rFonts w:ascii="Arial" w:eastAsia="Times New Roman" w:hAnsi="Arial" w:cs="Arial"/>
          <w:lang w:eastAsia="en-ZA"/>
        </w:rPr>
      </w:pPr>
      <w:r w:rsidRPr="009334C4">
        <w:rPr>
          <w:rFonts w:ascii="Arial" w:eastAsia="Times New Roman" w:hAnsi="Arial" w:cs="Arial"/>
          <w:color w:val="000000"/>
          <w:lang w:eastAsia="en-ZA"/>
        </w:rPr>
        <w:br/>
      </w:r>
      <w:proofErr w:type="spellStart"/>
      <w:r w:rsidRPr="009334C4">
        <w:rPr>
          <w:rFonts w:ascii="Arial" w:eastAsia="Times New Roman" w:hAnsi="Arial" w:cs="Arial"/>
          <w:i/>
          <w:iCs/>
          <w:color w:val="000000"/>
          <w:lang w:eastAsia="en-ZA"/>
        </w:rPr>
        <w:t>Giesecke</w:t>
      </w:r>
      <w:proofErr w:type="spellEnd"/>
      <w:r w:rsidRPr="009334C4">
        <w:rPr>
          <w:rFonts w:ascii="Arial" w:eastAsia="Times New Roman" w:hAnsi="Arial" w:cs="Arial"/>
          <w:i/>
          <w:iCs/>
          <w:color w:val="000000"/>
          <w:lang w:eastAsia="en-ZA"/>
        </w:rPr>
        <w:t xml:space="preserve"> &amp; </w:t>
      </w:r>
      <w:proofErr w:type="spellStart"/>
      <w:r w:rsidRPr="009334C4">
        <w:rPr>
          <w:rFonts w:ascii="Arial" w:eastAsia="Times New Roman" w:hAnsi="Arial" w:cs="Arial"/>
          <w:i/>
          <w:iCs/>
          <w:color w:val="000000"/>
          <w:lang w:eastAsia="en-ZA"/>
        </w:rPr>
        <w:t>Devrient</w:t>
      </w:r>
      <w:proofErr w:type="spellEnd"/>
      <w:r w:rsidRPr="009334C4">
        <w:rPr>
          <w:rFonts w:ascii="Arial" w:eastAsia="Times New Roman" w:hAnsi="Arial" w:cs="Arial"/>
          <w:i/>
          <w:iCs/>
          <w:color w:val="000000"/>
          <w:lang w:eastAsia="en-ZA"/>
        </w:rPr>
        <w:t xml:space="preserve"> Southern Africa (Pty) Ltd v Minister of Safety and Security</w:t>
      </w:r>
      <w:hyperlink r:id="rId4" w:tgtFrame="main" w:history="1">
        <w:r w:rsidRPr="009334C4">
          <w:rPr>
            <w:rFonts w:ascii="Arial" w:eastAsia="Times New Roman" w:hAnsi="Arial" w:cs="Arial"/>
            <w:color w:val="0066FF"/>
            <w:u w:val="single"/>
            <w:lang w:eastAsia="en-ZA"/>
          </w:rPr>
          <w:t>2012 (2) SA 137 (SCA)</w:t>
        </w:r>
      </w:hyperlink>
      <w:r w:rsidRPr="009334C4">
        <w:rPr>
          <w:rFonts w:ascii="Arial" w:eastAsia="Times New Roman" w:hAnsi="Arial" w:cs="Arial"/>
          <w:color w:val="000000"/>
          <w:lang w:eastAsia="en-ZA"/>
        </w:rPr>
        <w:t xml:space="preserve">: dictum in </w:t>
      </w:r>
      <w:proofErr w:type="spellStart"/>
      <w:r w:rsidRPr="009334C4">
        <w:rPr>
          <w:rFonts w:ascii="Arial" w:eastAsia="Times New Roman" w:hAnsi="Arial" w:cs="Arial"/>
          <w:color w:val="000000"/>
          <w:lang w:eastAsia="en-ZA"/>
        </w:rPr>
        <w:t>para</w:t>
      </w:r>
      <w:proofErr w:type="spellEnd"/>
      <w:r w:rsidRPr="009334C4">
        <w:rPr>
          <w:rFonts w:ascii="Arial" w:eastAsia="Times New Roman" w:hAnsi="Arial" w:cs="Arial"/>
          <w:color w:val="000000"/>
          <w:lang w:eastAsia="en-ZA"/>
        </w:rPr>
        <w:t xml:space="preserve"> [24] applied</w:t>
      </w:r>
      <w:r w:rsidRPr="009334C4">
        <w:rPr>
          <w:rFonts w:ascii="Arial" w:eastAsia="Times New Roman" w:hAnsi="Arial" w:cs="Arial"/>
          <w:color w:val="000000"/>
          <w:lang w:eastAsia="en-ZA"/>
        </w:rPr>
        <w:br/>
        <w:t>B </w:t>
      </w:r>
      <w:proofErr w:type="spellStart"/>
      <w:r w:rsidRPr="009334C4">
        <w:rPr>
          <w:rFonts w:ascii="Arial" w:eastAsia="Times New Roman" w:hAnsi="Arial" w:cs="Arial"/>
          <w:i/>
          <w:iCs/>
          <w:color w:val="000000"/>
          <w:lang w:eastAsia="en-ZA"/>
        </w:rPr>
        <w:t>Makgomarela</w:t>
      </w:r>
      <w:proofErr w:type="spellEnd"/>
      <w:r w:rsidRPr="009334C4">
        <w:rPr>
          <w:rFonts w:ascii="Arial" w:eastAsia="Times New Roman" w:hAnsi="Arial" w:cs="Arial"/>
          <w:i/>
          <w:iCs/>
          <w:color w:val="000000"/>
          <w:lang w:eastAsia="en-ZA"/>
        </w:rPr>
        <w:t xml:space="preserve"> v Premier of Gauteng and Another</w:t>
      </w:r>
      <w:r w:rsidRPr="009334C4">
        <w:rPr>
          <w:rFonts w:ascii="Arial" w:eastAsia="Times New Roman" w:hAnsi="Arial" w:cs="Arial"/>
          <w:color w:val="000000"/>
          <w:lang w:eastAsia="en-ZA"/>
        </w:rPr>
        <w:t xml:space="preserve"> [2012] ZAGPJHC 217: dictum in </w:t>
      </w:r>
      <w:proofErr w:type="spellStart"/>
      <w:r w:rsidRPr="009334C4">
        <w:rPr>
          <w:rFonts w:ascii="Arial" w:eastAsia="Times New Roman" w:hAnsi="Arial" w:cs="Arial"/>
          <w:color w:val="000000"/>
          <w:lang w:eastAsia="en-ZA"/>
        </w:rPr>
        <w:t>paras</w:t>
      </w:r>
      <w:proofErr w:type="spellEnd"/>
      <w:r w:rsidRPr="009334C4">
        <w:rPr>
          <w:rFonts w:ascii="Arial" w:eastAsia="Times New Roman" w:hAnsi="Arial" w:cs="Arial"/>
          <w:color w:val="000000"/>
          <w:lang w:eastAsia="en-ZA"/>
        </w:rPr>
        <w:t xml:space="preserve"> [6] – [8] applied</w:t>
      </w:r>
      <w:r w:rsidRPr="009334C4">
        <w:rPr>
          <w:rFonts w:ascii="Arial" w:eastAsia="Times New Roman" w:hAnsi="Arial" w:cs="Arial"/>
          <w:color w:val="000000"/>
          <w:lang w:eastAsia="en-ZA"/>
        </w:rPr>
        <w:br/>
      </w:r>
      <w:proofErr w:type="spellStart"/>
      <w:r w:rsidRPr="009334C4">
        <w:rPr>
          <w:rFonts w:ascii="Arial" w:eastAsia="Times New Roman" w:hAnsi="Arial" w:cs="Arial"/>
          <w:i/>
          <w:iCs/>
          <w:color w:val="000000"/>
          <w:lang w:eastAsia="en-ZA"/>
        </w:rPr>
        <w:lastRenderedPageBreak/>
        <w:t>Makhathini</w:t>
      </w:r>
      <w:proofErr w:type="spellEnd"/>
      <w:r w:rsidRPr="009334C4">
        <w:rPr>
          <w:rFonts w:ascii="Arial" w:eastAsia="Times New Roman" w:hAnsi="Arial" w:cs="Arial"/>
          <w:i/>
          <w:iCs/>
          <w:color w:val="000000"/>
          <w:lang w:eastAsia="en-ZA"/>
        </w:rPr>
        <w:t xml:space="preserve"> v Road Accident Fund</w:t>
      </w:r>
      <w:hyperlink r:id="rId5" w:tgtFrame="main" w:history="1">
        <w:r w:rsidRPr="009334C4">
          <w:rPr>
            <w:rFonts w:ascii="Arial" w:eastAsia="Times New Roman" w:hAnsi="Arial" w:cs="Arial"/>
            <w:color w:val="0066FF"/>
            <w:u w:val="single"/>
            <w:lang w:eastAsia="en-ZA"/>
          </w:rPr>
          <w:t>2002 (1) SA 511 (SCA)</w:t>
        </w:r>
      </w:hyperlink>
      <w:r w:rsidRPr="009334C4">
        <w:rPr>
          <w:rFonts w:ascii="Arial" w:eastAsia="Times New Roman" w:hAnsi="Arial" w:cs="Arial"/>
          <w:color w:val="000000"/>
          <w:lang w:eastAsia="en-ZA"/>
        </w:rPr>
        <w:t> ([2002] 1 All SA 413): referred to</w:t>
      </w:r>
      <w:r w:rsidRPr="009334C4">
        <w:rPr>
          <w:rFonts w:ascii="Arial" w:eastAsia="Times New Roman" w:hAnsi="Arial" w:cs="Arial"/>
          <w:color w:val="000000"/>
          <w:lang w:eastAsia="en-ZA"/>
        </w:rPr>
        <w:br/>
      </w:r>
      <w:proofErr w:type="spellStart"/>
      <w:r w:rsidRPr="009334C4">
        <w:rPr>
          <w:rFonts w:ascii="Arial" w:eastAsia="Times New Roman" w:hAnsi="Arial" w:cs="Arial"/>
          <w:i/>
          <w:iCs/>
          <w:color w:val="000000"/>
          <w:lang w:eastAsia="en-ZA"/>
        </w:rPr>
        <w:t>Ntsele</w:t>
      </w:r>
      <w:proofErr w:type="spellEnd"/>
      <w:r w:rsidRPr="009334C4">
        <w:rPr>
          <w:rFonts w:ascii="Arial" w:eastAsia="Times New Roman" w:hAnsi="Arial" w:cs="Arial"/>
          <w:i/>
          <w:iCs/>
          <w:color w:val="000000"/>
          <w:lang w:eastAsia="en-ZA"/>
        </w:rPr>
        <w:t xml:space="preserve"> v MEC for Health, Gauteng Provincial Government</w:t>
      </w:r>
      <w:r w:rsidRPr="009334C4">
        <w:rPr>
          <w:rFonts w:ascii="Arial" w:eastAsia="Times New Roman" w:hAnsi="Arial" w:cs="Arial"/>
          <w:color w:val="000000"/>
          <w:lang w:eastAsia="en-ZA"/>
        </w:rPr>
        <w:t xml:space="preserve"> [2013] 2 All SA 356 (GSJ): dictum in </w:t>
      </w:r>
      <w:proofErr w:type="spellStart"/>
      <w:r w:rsidRPr="009334C4">
        <w:rPr>
          <w:rFonts w:ascii="Arial" w:eastAsia="Times New Roman" w:hAnsi="Arial" w:cs="Arial"/>
          <w:color w:val="000000"/>
          <w:lang w:eastAsia="en-ZA"/>
        </w:rPr>
        <w:t>paras</w:t>
      </w:r>
      <w:proofErr w:type="spellEnd"/>
      <w:r w:rsidRPr="009334C4">
        <w:rPr>
          <w:rFonts w:ascii="Arial" w:eastAsia="Times New Roman" w:hAnsi="Arial" w:cs="Arial"/>
          <w:color w:val="000000"/>
          <w:lang w:eastAsia="en-ZA"/>
        </w:rPr>
        <w:t xml:space="preserve"> [124] – [126] applied</w:t>
      </w:r>
      <w:r w:rsidRPr="009334C4">
        <w:rPr>
          <w:rFonts w:ascii="Arial" w:eastAsia="Times New Roman" w:hAnsi="Arial" w:cs="Arial"/>
          <w:color w:val="000000"/>
          <w:lang w:eastAsia="en-ZA"/>
        </w:rPr>
        <w:br/>
        <w:t>C </w:t>
      </w:r>
      <w:r w:rsidRPr="009334C4">
        <w:rPr>
          <w:rFonts w:ascii="Arial" w:eastAsia="Times New Roman" w:hAnsi="Arial" w:cs="Arial"/>
          <w:i/>
          <w:iCs/>
          <w:color w:val="000000"/>
          <w:lang w:eastAsia="en-ZA"/>
        </w:rPr>
        <w:t xml:space="preserve">S v </w:t>
      </w:r>
      <w:proofErr w:type="spellStart"/>
      <w:r w:rsidRPr="009334C4">
        <w:rPr>
          <w:rFonts w:ascii="Arial" w:eastAsia="Times New Roman" w:hAnsi="Arial" w:cs="Arial"/>
          <w:i/>
          <w:iCs/>
          <w:color w:val="000000"/>
          <w:lang w:eastAsia="en-ZA"/>
        </w:rPr>
        <w:t>Ndhlovu</w:t>
      </w:r>
      <w:proofErr w:type="spellEnd"/>
      <w:r w:rsidRPr="009334C4">
        <w:rPr>
          <w:rFonts w:ascii="Arial" w:eastAsia="Times New Roman" w:hAnsi="Arial" w:cs="Arial"/>
          <w:i/>
          <w:iCs/>
          <w:color w:val="000000"/>
          <w:lang w:eastAsia="en-ZA"/>
        </w:rPr>
        <w:t xml:space="preserve"> and Others</w:t>
      </w:r>
      <w:hyperlink r:id="rId6" w:tgtFrame="main" w:history="1">
        <w:r w:rsidRPr="009334C4">
          <w:rPr>
            <w:rFonts w:ascii="Arial" w:eastAsia="Times New Roman" w:hAnsi="Arial" w:cs="Arial"/>
            <w:color w:val="0066FF"/>
            <w:u w:val="single"/>
            <w:lang w:eastAsia="en-ZA"/>
          </w:rPr>
          <w:t>2002 (6) SA 305 (SCA)</w:t>
        </w:r>
      </w:hyperlink>
      <w:r w:rsidRPr="009334C4">
        <w:rPr>
          <w:rFonts w:ascii="Arial" w:eastAsia="Times New Roman" w:hAnsi="Arial" w:cs="Arial"/>
          <w:color w:val="000000"/>
          <w:lang w:eastAsia="en-ZA"/>
        </w:rPr>
        <w:t xml:space="preserve"> (2002 (2) SACR 325; [2002] 3 All SA 760; [2002] ZASCA 70): dicta in </w:t>
      </w:r>
      <w:proofErr w:type="spellStart"/>
      <w:r w:rsidRPr="009334C4">
        <w:rPr>
          <w:rFonts w:ascii="Arial" w:eastAsia="Times New Roman" w:hAnsi="Arial" w:cs="Arial"/>
          <w:color w:val="000000"/>
          <w:lang w:eastAsia="en-ZA"/>
        </w:rPr>
        <w:t>paras</w:t>
      </w:r>
      <w:proofErr w:type="spellEnd"/>
      <w:r w:rsidRPr="009334C4">
        <w:rPr>
          <w:rFonts w:ascii="Arial" w:eastAsia="Times New Roman" w:hAnsi="Arial" w:cs="Arial"/>
          <w:color w:val="000000"/>
          <w:lang w:eastAsia="en-ZA"/>
        </w:rPr>
        <w:t xml:space="preserve"> [14], [29] – [31] and [34] applied</w:t>
      </w:r>
      <w:r w:rsidRPr="009334C4">
        <w:rPr>
          <w:rFonts w:ascii="Arial" w:eastAsia="Times New Roman" w:hAnsi="Arial" w:cs="Arial"/>
          <w:color w:val="000000"/>
          <w:lang w:eastAsia="en-ZA"/>
        </w:rPr>
        <w:br/>
      </w:r>
      <w:proofErr w:type="spellStart"/>
      <w:r w:rsidRPr="009334C4">
        <w:rPr>
          <w:rFonts w:ascii="Arial" w:eastAsia="Times New Roman" w:hAnsi="Arial" w:cs="Arial"/>
          <w:i/>
          <w:iCs/>
          <w:color w:val="000000"/>
          <w:lang w:eastAsia="en-ZA"/>
        </w:rPr>
        <w:t>Savoi</w:t>
      </w:r>
      <w:proofErr w:type="spellEnd"/>
      <w:r w:rsidRPr="009334C4">
        <w:rPr>
          <w:rFonts w:ascii="Arial" w:eastAsia="Times New Roman" w:hAnsi="Arial" w:cs="Arial"/>
          <w:i/>
          <w:iCs/>
          <w:color w:val="000000"/>
          <w:lang w:eastAsia="en-ZA"/>
        </w:rPr>
        <w:t xml:space="preserve"> and Others v National Director of Public Prosecutions and Another</w:t>
      </w:r>
      <w:hyperlink r:id="rId7" w:tgtFrame="main" w:history="1">
        <w:r w:rsidRPr="009334C4">
          <w:rPr>
            <w:rFonts w:ascii="Arial" w:eastAsia="Times New Roman" w:hAnsi="Arial" w:cs="Arial"/>
            <w:color w:val="0066FF"/>
            <w:u w:val="single"/>
            <w:lang w:eastAsia="en-ZA"/>
          </w:rPr>
          <w:t>2014 (5) SA 317 (CC)</w:t>
        </w:r>
      </w:hyperlink>
      <w:r w:rsidRPr="009334C4">
        <w:rPr>
          <w:rFonts w:ascii="Arial" w:eastAsia="Times New Roman" w:hAnsi="Arial" w:cs="Arial"/>
          <w:color w:val="000000"/>
          <w:lang w:eastAsia="en-ZA"/>
        </w:rPr>
        <w:t> (2014 (1) SACR 545; [2014] ZACC 5): compared</w:t>
      </w:r>
      <w:r w:rsidRPr="009334C4">
        <w:rPr>
          <w:rFonts w:ascii="Arial" w:eastAsia="Times New Roman" w:hAnsi="Arial" w:cs="Arial"/>
          <w:color w:val="000000"/>
          <w:lang w:eastAsia="en-ZA"/>
        </w:rPr>
        <w:br/>
      </w:r>
      <w:r w:rsidRPr="009334C4">
        <w:rPr>
          <w:rFonts w:ascii="Arial" w:eastAsia="Times New Roman" w:hAnsi="Arial" w:cs="Arial"/>
          <w:i/>
          <w:iCs/>
          <w:color w:val="000000"/>
          <w:lang w:eastAsia="en-ZA"/>
        </w:rPr>
        <w:t>Vulcan Rubber Works (Pty) Ltd v South African Railways and Harbours</w:t>
      </w:r>
      <w:hyperlink r:id="rId8" w:tgtFrame="main" w:history="1">
        <w:r w:rsidRPr="009334C4">
          <w:rPr>
            <w:rFonts w:ascii="Arial" w:eastAsia="Times New Roman" w:hAnsi="Arial" w:cs="Arial"/>
            <w:color w:val="0066FF"/>
            <w:u w:val="single"/>
            <w:lang w:eastAsia="en-ZA"/>
          </w:rPr>
          <w:t>1958 (3) SA 285 (A)</w:t>
        </w:r>
      </w:hyperlink>
      <w:r w:rsidRPr="009334C4">
        <w:rPr>
          <w:rFonts w:ascii="Arial" w:eastAsia="Times New Roman" w:hAnsi="Arial" w:cs="Arial"/>
          <w:color w:val="000000"/>
          <w:lang w:eastAsia="en-ZA"/>
        </w:rPr>
        <w:t>: D dictum at 296D – H applied.</w:t>
      </w:r>
      <w:bookmarkStart w:id="12" w:name="LPTOC4"/>
      <w:bookmarkEnd w:id="12"/>
    </w:p>
    <w:p w:rsidR="009334C4" w:rsidRPr="009334C4" w:rsidRDefault="009334C4" w:rsidP="009334C4">
      <w:pPr>
        <w:spacing w:after="24" w:line="240" w:lineRule="auto"/>
        <w:rPr>
          <w:rFonts w:ascii="Arial" w:eastAsia="Times New Roman" w:hAnsi="Arial" w:cs="Arial"/>
          <w:b/>
          <w:bCs/>
          <w:color w:val="000000"/>
          <w:lang w:eastAsia="en-ZA"/>
        </w:rPr>
      </w:pPr>
      <w:r w:rsidRPr="009334C4">
        <w:rPr>
          <w:rFonts w:ascii="Arial" w:eastAsia="Times New Roman" w:hAnsi="Arial" w:cs="Arial"/>
          <w:b/>
          <w:bCs/>
          <w:color w:val="000000"/>
          <w:lang w:eastAsia="en-ZA"/>
        </w:rPr>
        <w:t>Statutes Considered</w:t>
      </w:r>
    </w:p>
    <w:p w:rsidR="009334C4" w:rsidRPr="009334C4" w:rsidRDefault="009334C4" w:rsidP="009334C4">
      <w:pPr>
        <w:spacing w:after="0" w:line="240" w:lineRule="auto"/>
        <w:rPr>
          <w:rFonts w:ascii="Arial" w:eastAsia="Times New Roman" w:hAnsi="Arial" w:cs="Arial"/>
          <w:lang w:eastAsia="en-ZA"/>
        </w:rPr>
      </w:pPr>
      <w:r w:rsidRPr="009334C4">
        <w:rPr>
          <w:rFonts w:ascii="Arial" w:eastAsia="Times New Roman" w:hAnsi="Arial" w:cs="Arial"/>
          <w:color w:val="000000"/>
          <w:lang w:eastAsia="en-ZA"/>
        </w:rPr>
        <w:br/>
      </w:r>
      <w:r w:rsidRPr="009334C4">
        <w:rPr>
          <w:rFonts w:ascii="Arial" w:eastAsia="Times New Roman" w:hAnsi="Arial" w:cs="Arial"/>
          <w:color w:val="000000"/>
          <w:u w:val="single"/>
          <w:lang w:eastAsia="en-ZA"/>
        </w:rPr>
        <w:t>Statutes</w:t>
      </w:r>
    </w:p>
    <w:p w:rsidR="009334C4" w:rsidRPr="009334C4" w:rsidRDefault="009334C4" w:rsidP="009334C4">
      <w:pPr>
        <w:spacing w:after="0" w:line="240" w:lineRule="auto"/>
        <w:rPr>
          <w:rFonts w:ascii="Arial" w:eastAsia="Times New Roman" w:hAnsi="Arial" w:cs="Arial"/>
          <w:color w:val="000000"/>
          <w:lang w:eastAsia="en-ZA"/>
        </w:rPr>
      </w:pPr>
      <w:r w:rsidRPr="009334C4">
        <w:rPr>
          <w:rFonts w:ascii="Arial" w:eastAsia="Times New Roman" w:hAnsi="Arial" w:cs="Arial"/>
          <w:color w:val="000000"/>
          <w:lang w:eastAsia="en-ZA"/>
        </w:rPr>
        <w:t>The Law of Evidence Amendment Act 45 of 1988, s 3(1): see </w:t>
      </w:r>
      <w:proofErr w:type="spellStart"/>
      <w:r w:rsidRPr="009334C4">
        <w:rPr>
          <w:rFonts w:ascii="Arial" w:eastAsia="Times New Roman" w:hAnsi="Arial" w:cs="Arial"/>
          <w:i/>
          <w:iCs/>
          <w:color w:val="000000"/>
          <w:lang w:eastAsia="en-ZA"/>
        </w:rPr>
        <w:t>Juta's</w:t>
      </w:r>
      <w:proofErr w:type="spellEnd"/>
      <w:r w:rsidRPr="009334C4">
        <w:rPr>
          <w:rFonts w:ascii="Arial" w:eastAsia="Times New Roman" w:hAnsi="Arial" w:cs="Arial"/>
          <w:i/>
          <w:iCs/>
          <w:color w:val="000000"/>
          <w:lang w:eastAsia="en-ZA"/>
        </w:rPr>
        <w:t xml:space="preserve"> Statutes of South Africa 2013/14</w:t>
      </w:r>
      <w:r w:rsidRPr="009334C4">
        <w:rPr>
          <w:rFonts w:ascii="Arial" w:eastAsia="Times New Roman" w:hAnsi="Arial" w:cs="Arial"/>
          <w:color w:val="000000"/>
          <w:lang w:eastAsia="en-ZA"/>
        </w:rPr>
        <w:t> </w:t>
      </w:r>
      <w:proofErr w:type="spellStart"/>
      <w:r w:rsidRPr="009334C4">
        <w:rPr>
          <w:rFonts w:ascii="Arial" w:eastAsia="Times New Roman" w:hAnsi="Arial" w:cs="Arial"/>
          <w:color w:val="000000"/>
          <w:lang w:eastAsia="en-ZA"/>
        </w:rPr>
        <w:t>vol</w:t>
      </w:r>
      <w:proofErr w:type="spellEnd"/>
      <w:r w:rsidRPr="009334C4">
        <w:rPr>
          <w:rFonts w:ascii="Arial" w:eastAsia="Times New Roman" w:hAnsi="Arial" w:cs="Arial"/>
          <w:color w:val="000000"/>
          <w:lang w:eastAsia="en-ZA"/>
        </w:rPr>
        <w:t xml:space="preserve"> 1 at 2-838</w:t>
      </w:r>
    </w:p>
    <w:p w:rsidR="009334C4" w:rsidRPr="009334C4" w:rsidRDefault="009334C4" w:rsidP="009334C4">
      <w:pPr>
        <w:spacing w:after="0" w:line="240" w:lineRule="auto"/>
        <w:rPr>
          <w:rFonts w:ascii="Arial" w:eastAsia="Times New Roman" w:hAnsi="Arial" w:cs="Arial"/>
          <w:color w:val="000000"/>
          <w:lang w:eastAsia="en-ZA"/>
        </w:rPr>
      </w:pPr>
      <w:r w:rsidRPr="009334C4">
        <w:rPr>
          <w:rFonts w:ascii="Arial" w:eastAsia="Times New Roman" w:hAnsi="Arial" w:cs="Arial"/>
          <w:color w:val="000000"/>
          <w:lang w:eastAsia="en-ZA"/>
        </w:rPr>
        <w:t>E </w:t>
      </w:r>
      <w:proofErr w:type="gramStart"/>
      <w:r w:rsidRPr="009334C4">
        <w:rPr>
          <w:rFonts w:ascii="Arial" w:eastAsia="Times New Roman" w:hAnsi="Arial" w:cs="Arial"/>
          <w:color w:val="000000"/>
          <w:lang w:eastAsia="en-ZA"/>
        </w:rPr>
        <w:t>The</w:t>
      </w:r>
      <w:proofErr w:type="gramEnd"/>
      <w:r w:rsidRPr="009334C4">
        <w:rPr>
          <w:rFonts w:ascii="Arial" w:eastAsia="Times New Roman" w:hAnsi="Arial" w:cs="Arial"/>
          <w:color w:val="000000"/>
          <w:lang w:eastAsia="en-ZA"/>
        </w:rPr>
        <w:t xml:space="preserve"> National Health Act 61 of 2003, </w:t>
      </w:r>
      <w:proofErr w:type="spellStart"/>
      <w:r w:rsidRPr="009334C4">
        <w:rPr>
          <w:rFonts w:ascii="Arial" w:eastAsia="Times New Roman" w:hAnsi="Arial" w:cs="Arial"/>
          <w:color w:val="000000"/>
          <w:lang w:eastAsia="en-ZA"/>
        </w:rPr>
        <w:t>ss</w:t>
      </w:r>
      <w:proofErr w:type="spellEnd"/>
      <w:r w:rsidRPr="009334C4">
        <w:rPr>
          <w:rFonts w:ascii="Arial" w:eastAsia="Times New Roman" w:hAnsi="Arial" w:cs="Arial"/>
          <w:color w:val="000000"/>
          <w:lang w:eastAsia="en-ZA"/>
        </w:rPr>
        <w:t xml:space="preserve"> 13 and 17: see </w:t>
      </w:r>
      <w:proofErr w:type="spellStart"/>
      <w:r w:rsidRPr="009334C4">
        <w:rPr>
          <w:rFonts w:ascii="Arial" w:eastAsia="Times New Roman" w:hAnsi="Arial" w:cs="Arial"/>
          <w:i/>
          <w:iCs/>
          <w:color w:val="000000"/>
          <w:lang w:eastAsia="en-ZA"/>
        </w:rPr>
        <w:t>Juta's</w:t>
      </w:r>
      <w:proofErr w:type="spellEnd"/>
      <w:r w:rsidRPr="009334C4">
        <w:rPr>
          <w:rFonts w:ascii="Arial" w:eastAsia="Times New Roman" w:hAnsi="Arial" w:cs="Arial"/>
          <w:i/>
          <w:iCs/>
          <w:color w:val="000000"/>
          <w:lang w:eastAsia="en-ZA"/>
        </w:rPr>
        <w:t xml:space="preserve"> Statutes of South Africa 2013/14</w:t>
      </w:r>
      <w:r w:rsidRPr="009334C4">
        <w:rPr>
          <w:rFonts w:ascii="Arial" w:eastAsia="Times New Roman" w:hAnsi="Arial" w:cs="Arial"/>
          <w:color w:val="000000"/>
          <w:lang w:eastAsia="en-ZA"/>
        </w:rPr>
        <w:t> </w:t>
      </w:r>
      <w:proofErr w:type="spellStart"/>
      <w:r w:rsidRPr="009334C4">
        <w:rPr>
          <w:rFonts w:ascii="Arial" w:eastAsia="Times New Roman" w:hAnsi="Arial" w:cs="Arial"/>
          <w:color w:val="000000"/>
          <w:lang w:eastAsia="en-ZA"/>
        </w:rPr>
        <w:t>vol</w:t>
      </w:r>
      <w:proofErr w:type="spellEnd"/>
      <w:r w:rsidRPr="009334C4">
        <w:rPr>
          <w:rFonts w:ascii="Arial" w:eastAsia="Times New Roman" w:hAnsi="Arial" w:cs="Arial"/>
          <w:color w:val="000000"/>
          <w:lang w:eastAsia="en-ZA"/>
        </w:rPr>
        <w:t xml:space="preserve"> 5 at 2-377.</w:t>
      </w:r>
    </w:p>
    <w:p w:rsidR="009334C4" w:rsidRPr="009334C4" w:rsidRDefault="009334C4" w:rsidP="009334C4">
      <w:pPr>
        <w:spacing w:after="24" w:line="240" w:lineRule="auto"/>
        <w:rPr>
          <w:rFonts w:ascii="Arial" w:eastAsia="Times New Roman" w:hAnsi="Arial" w:cs="Arial"/>
          <w:b/>
          <w:bCs/>
          <w:color w:val="000000"/>
          <w:lang w:eastAsia="en-ZA"/>
        </w:rPr>
      </w:pPr>
      <w:bookmarkStart w:id="13" w:name="LPTOC5"/>
      <w:bookmarkEnd w:id="13"/>
      <w:r w:rsidRPr="009334C4">
        <w:rPr>
          <w:rFonts w:ascii="Arial" w:eastAsia="Times New Roman" w:hAnsi="Arial" w:cs="Arial"/>
          <w:b/>
          <w:bCs/>
          <w:color w:val="000000"/>
          <w:lang w:eastAsia="en-ZA"/>
        </w:rPr>
        <w:t>Case Information</w:t>
      </w:r>
    </w:p>
    <w:p w:rsidR="009334C4" w:rsidRPr="009334C4" w:rsidRDefault="009334C4" w:rsidP="009334C4">
      <w:pPr>
        <w:spacing w:after="0" w:line="240" w:lineRule="auto"/>
        <w:rPr>
          <w:rFonts w:ascii="Arial" w:eastAsia="Times New Roman" w:hAnsi="Arial" w:cs="Arial"/>
          <w:lang w:eastAsia="en-ZA"/>
        </w:rPr>
      </w:pPr>
      <w:r w:rsidRPr="009334C4">
        <w:rPr>
          <w:rFonts w:ascii="Arial" w:eastAsia="Times New Roman" w:hAnsi="Arial" w:cs="Arial"/>
          <w:color w:val="000000"/>
          <w:lang w:eastAsia="en-ZA"/>
        </w:rPr>
        <w:br/>
      </w:r>
      <w:r w:rsidRPr="009334C4">
        <w:rPr>
          <w:rFonts w:ascii="Arial" w:eastAsia="Times New Roman" w:hAnsi="Arial" w:cs="Arial"/>
          <w:i/>
          <w:iCs/>
          <w:color w:val="000000"/>
          <w:lang w:eastAsia="en-ZA"/>
        </w:rPr>
        <w:t xml:space="preserve">N van </w:t>
      </w:r>
      <w:proofErr w:type="spellStart"/>
      <w:r w:rsidRPr="009334C4">
        <w:rPr>
          <w:rFonts w:ascii="Arial" w:eastAsia="Times New Roman" w:hAnsi="Arial" w:cs="Arial"/>
          <w:i/>
          <w:iCs/>
          <w:color w:val="000000"/>
          <w:lang w:eastAsia="en-ZA"/>
        </w:rPr>
        <w:t>der</w:t>
      </w:r>
      <w:proofErr w:type="spellEnd"/>
      <w:r w:rsidRPr="009334C4">
        <w:rPr>
          <w:rFonts w:ascii="Arial" w:eastAsia="Times New Roman" w:hAnsi="Arial" w:cs="Arial"/>
          <w:i/>
          <w:iCs/>
          <w:color w:val="000000"/>
          <w:lang w:eastAsia="en-ZA"/>
        </w:rPr>
        <w:t xml:space="preserve"> Walt</w:t>
      </w:r>
      <w:r w:rsidRPr="009334C4">
        <w:rPr>
          <w:rFonts w:ascii="Arial" w:eastAsia="Times New Roman" w:hAnsi="Arial" w:cs="Arial"/>
          <w:color w:val="000000"/>
          <w:lang w:eastAsia="en-ZA"/>
        </w:rPr>
        <w:t> for the plaintiff.</w:t>
      </w:r>
    </w:p>
    <w:p w:rsidR="009334C4" w:rsidRPr="009334C4" w:rsidRDefault="009334C4" w:rsidP="009334C4">
      <w:pPr>
        <w:spacing w:after="0" w:line="240" w:lineRule="auto"/>
        <w:rPr>
          <w:rFonts w:ascii="Arial" w:eastAsia="Times New Roman" w:hAnsi="Arial" w:cs="Arial"/>
          <w:color w:val="000000"/>
          <w:lang w:eastAsia="en-ZA"/>
        </w:rPr>
      </w:pPr>
      <w:r w:rsidRPr="009334C4">
        <w:rPr>
          <w:rFonts w:ascii="Arial" w:eastAsia="Times New Roman" w:hAnsi="Arial" w:cs="Arial"/>
          <w:i/>
          <w:iCs/>
          <w:color w:val="000000"/>
          <w:lang w:eastAsia="en-ZA"/>
        </w:rPr>
        <w:t xml:space="preserve">RB </w:t>
      </w:r>
      <w:proofErr w:type="spellStart"/>
      <w:r w:rsidRPr="009334C4">
        <w:rPr>
          <w:rFonts w:ascii="Arial" w:eastAsia="Times New Roman" w:hAnsi="Arial" w:cs="Arial"/>
          <w:i/>
          <w:iCs/>
          <w:color w:val="000000"/>
          <w:lang w:eastAsia="en-ZA"/>
        </w:rPr>
        <w:t>Mkhabela</w:t>
      </w:r>
      <w:proofErr w:type="spellEnd"/>
      <w:r w:rsidRPr="009334C4">
        <w:rPr>
          <w:rFonts w:ascii="Arial" w:eastAsia="Times New Roman" w:hAnsi="Arial" w:cs="Arial"/>
          <w:color w:val="000000"/>
          <w:lang w:eastAsia="en-ZA"/>
        </w:rPr>
        <w:t> for the defendant.</w:t>
      </w:r>
    </w:p>
    <w:p w:rsidR="009334C4" w:rsidRPr="009334C4" w:rsidRDefault="009334C4" w:rsidP="009334C4">
      <w:pPr>
        <w:spacing w:after="0" w:line="240" w:lineRule="auto"/>
        <w:rPr>
          <w:rFonts w:ascii="Arial" w:eastAsia="Times New Roman" w:hAnsi="Arial" w:cs="Arial"/>
          <w:color w:val="000000"/>
          <w:lang w:eastAsia="en-ZA"/>
        </w:rPr>
      </w:pPr>
      <w:r w:rsidRPr="009334C4">
        <w:rPr>
          <w:rFonts w:ascii="Arial" w:eastAsia="Times New Roman" w:hAnsi="Arial" w:cs="Arial"/>
          <w:color w:val="000000"/>
          <w:lang w:eastAsia="en-ZA"/>
        </w:rPr>
        <w:t>F An action for damages based on </w:t>
      </w:r>
      <w:bookmarkStart w:id="14" w:name="LPHit10"/>
      <w:bookmarkEnd w:id="14"/>
      <w:r w:rsidRPr="009334C4">
        <w:rPr>
          <w:rFonts w:ascii="Arial" w:eastAsia="Times New Roman" w:hAnsi="Arial" w:cs="Arial"/>
          <w:color w:val="000000"/>
          <w:lang w:eastAsia="en-ZA"/>
        </w:rPr>
        <w:t>medical </w:t>
      </w:r>
      <w:bookmarkStart w:id="15" w:name="LPHit11"/>
      <w:bookmarkEnd w:id="15"/>
      <w:proofErr w:type="gramStart"/>
      <w:r w:rsidRPr="009334C4">
        <w:rPr>
          <w:rFonts w:ascii="Arial" w:eastAsia="Times New Roman" w:hAnsi="Arial" w:cs="Arial"/>
          <w:color w:val="000000"/>
          <w:lang w:eastAsia="en-ZA"/>
        </w:rPr>
        <w:t>negligence .</w:t>
      </w:r>
      <w:proofErr w:type="gramEnd"/>
    </w:p>
    <w:p w:rsidR="009334C4" w:rsidRPr="009334C4" w:rsidRDefault="009334C4" w:rsidP="009334C4">
      <w:pPr>
        <w:spacing w:after="0" w:line="240" w:lineRule="auto"/>
        <w:rPr>
          <w:rFonts w:ascii="Arial" w:eastAsia="Times New Roman" w:hAnsi="Arial" w:cs="Arial"/>
          <w:b/>
          <w:bCs/>
          <w:color w:val="000000"/>
          <w:lang w:eastAsia="en-ZA"/>
        </w:rPr>
      </w:pPr>
    </w:p>
    <w:p w:rsidR="009334C4" w:rsidRPr="009334C4" w:rsidRDefault="009334C4" w:rsidP="009334C4">
      <w:pPr>
        <w:spacing w:after="0" w:line="240" w:lineRule="auto"/>
        <w:rPr>
          <w:rFonts w:ascii="Arial" w:eastAsia="Times New Roman" w:hAnsi="Arial" w:cs="Arial"/>
          <w:color w:val="000000"/>
          <w:lang w:eastAsia="en-ZA"/>
        </w:rPr>
      </w:pPr>
      <w:r w:rsidRPr="009334C4">
        <w:rPr>
          <w:rFonts w:ascii="Arial" w:eastAsia="Times New Roman" w:hAnsi="Arial" w:cs="Arial"/>
          <w:b/>
          <w:bCs/>
          <w:color w:val="000000"/>
          <w:lang w:eastAsia="en-ZA"/>
        </w:rPr>
        <w:t>Order</w:t>
      </w:r>
    </w:p>
    <w:p w:rsidR="009334C4" w:rsidRPr="009334C4" w:rsidRDefault="009334C4" w:rsidP="009334C4">
      <w:pPr>
        <w:spacing w:after="0" w:line="240" w:lineRule="auto"/>
        <w:ind w:hanging="226"/>
        <w:rPr>
          <w:rFonts w:ascii="Arial" w:eastAsia="Times New Roman" w:hAnsi="Arial" w:cs="Arial"/>
          <w:color w:val="000000"/>
          <w:lang w:eastAsia="en-ZA"/>
        </w:rPr>
      </w:pPr>
      <w:r w:rsidRPr="009334C4">
        <w:rPr>
          <w:rFonts w:ascii="Arial" w:eastAsia="Times New Roman" w:hAnsi="Arial" w:cs="Arial"/>
          <w:color w:val="000000"/>
          <w:lang w:eastAsia="en-ZA"/>
        </w:rPr>
        <w:t>1.   The </w:t>
      </w:r>
      <w:bookmarkStart w:id="16" w:name="LPHit12"/>
      <w:bookmarkEnd w:id="16"/>
      <w:r w:rsidRPr="009334C4">
        <w:rPr>
          <w:rFonts w:ascii="Arial" w:eastAsia="Times New Roman" w:hAnsi="Arial" w:cs="Arial"/>
          <w:color w:val="000000"/>
          <w:lang w:eastAsia="en-ZA"/>
        </w:rPr>
        <w:t xml:space="preserve">negligence of the staff of the Chris Hani </w:t>
      </w:r>
      <w:proofErr w:type="spellStart"/>
      <w:r w:rsidRPr="009334C4">
        <w:rPr>
          <w:rFonts w:ascii="Arial" w:eastAsia="Times New Roman" w:hAnsi="Arial" w:cs="Arial"/>
          <w:color w:val="000000"/>
          <w:lang w:eastAsia="en-ZA"/>
        </w:rPr>
        <w:t>Baragwanath</w:t>
      </w:r>
      <w:proofErr w:type="spellEnd"/>
      <w:r w:rsidRPr="009334C4">
        <w:rPr>
          <w:rFonts w:ascii="Arial" w:eastAsia="Times New Roman" w:hAnsi="Arial" w:cs="Arial"/>
          <w:color w:val="000000"/>
          <w:lang w:eastAsia="en-ZA"/>
        </w:rPr>
        <w:t xml:space="preserve"> Hospital on 24 and 25 May 2008 caused the brain damage suffered by the minor child, Z.</w:t>
      </w:r>
    </w:p>
    <w:p w:rsidR="009334C4" w:rsidRPr="009334C4" w:rsidRDefault="009334C4" w:rsidP="009334C4">
      <w:pPr>
        <w:spacing w:after="0" w:line="240" w:lineRule="auto"/>
        <w:ind w:hanging="226"/>
        <w:rPr>
          <w:rFonts w:ascii="Arial" w:eastAsia="Times New Roman" w:hAnsi="Arial" w:cs="Arial"/>
          <w:color w:val="000000"/>
          <w:lang w:eastAsia="en-ZA"/>
        </w:rPr>
      </w:pPr>
      <w:proofErr w:type="gramStart"/>
      <w:r w:rsidRPr="009334C4">
        <w:rPr>
          <w:rFonts w:ascii="Arial" w:eastAsia="Times New Roman" w:hAnsi="Arial" w:cs="Arial"/>
          <w:color w:val="000000"/>
          <w:lang w:eastAsia="en-ZA"/>
        </w:rPr>
        <w:t>G 2.</w:t>
      </w:r>
      <w:proofErr w:type="gramEnd"/>
      <w:r w:rsidRPr="009334C4">
        <w:rPr>
          <w:rFonts w:ascii="Arial" w:eastAsia="Times New Roman" w:hAnsi="Arial" w:cs="Arial"/>
          <w:color w:val="000000"/>
          <w:lang w:eastAsia="en-ZA"/>
        </w:rPr>
        <w:t>   The defendant is ordered to pay 100% of the agreed or proven damages of the plaintiff, acting in her representative capacity, as a result of such brain damage.</w:t>
      </w:r>
    </w:p>
    <w:p w:rsidR="009334C4" w:rsidRPr="009334C4" w:rsidRDefault="009334C4" w:rsidP="009334C4">
      <w:pPr>
        <w:spacing w:after="0" w:line="240" w:lineRule="auto"/>
        <w:ind w:hanging="226"/>
        <w:rPr>
          <w:rFonts w:ascii="Arial" w:eastAsia="Times New Roman" w:hAnsi="Arial" w:cs="Arial"/>
          <w:color w:val="000000"/>
          <w:lang w:eastAsia="en-ZA"/>
        </w:rPr>
      </w:pPr>
      <w:r w:rsidRPr="009334C4">
        <w:rPr>
          <w:rFonts w:ascii="Arial" w:eastAsia="Times New Roman" w:hAnsi="Arial" w:cs="Arial"/>
          <w:color w:val="000000"/>
          <w:lang w:eastAsia="en-ZA"/>
        </w:rPr>
        <w:t>3.   The defendant is to pay the costs of the plaintiff (such costs order to H exclude the costs orders already made) which shall include —</w:t>
      </w:r>
    </w:p>
    <w:p w:rsidR="009334C4" w:rsidRPr="009334C4" w:rsidRDefault="009334C4" w:rsidP="009334C4">
      <w:pPr>
        <w:spacing w:after="0" w:line="240" w:lineRule="auto"/>
        <w:ind w:hanging="968"/>
        <w:rPr>
          <w:rFonts w:ascii="Arial" w:eastAsia="Times New Roman" w:hAnsi="Arial" w:cs="Arial"/>
          <w:color w:val="000000"/>
          <w:lang w:eastAsia="en-ZA"/>
        </w:rPr>
      </w:pPr>
      <w:r w:rsidRPr="009334C4">
        <w:rPr>
          <w:rFonts w:ascii="Arial" w:eastAsia="Times New Roman" w:hAnsi="Arial" w:cs="Arial"/>
          <w:i/>
          <w:iCs/>
          <w:color w:val="000000"/>
          <w:lang w:eastAsia="en-ZA"/>
        </w:rPr>
        <w:t>   (a)   </w:t>
      </w:r>
      <w:proofErr w:type="gramStart"/>
      <w:r w:rsidRPr="009334C4">
        <w:rPr>
          <w:rFonts w:ascii="Arial" w:eastAsia="Times New Roman" w:hAnsi="Arial" w:cs="Arial"/>
          <w:color w:val="000000"/>
          <w:lang w:eastAsia="en-ZA"/>
        </w:rPr>
        <w:t>the</w:t>
      </w:r>
      <w:proofErr w:type="gramEnd"/>
      <w:r w:rsidRPr="009334C4">
        <w:rPr>
          <w:rFonts w:ascii="Arial" w:eastAsia="Times New Roman" w:hAnsi="Arial" w:cs="Arial"/>
          <w:color w:val="000000"/>
          <w:lang w:eastAsia="en-ZA"/>
        </w:rPr>
        <w:t xml:space="preserve"> costs of two counsel and counsel's fees in respect of the preparation of heads of argument;</w:t>
      </w:r>
    </w:p>
    <w:p w:rsidR="009334C4" w:rsidRPr="009334C4" w:rsidRDefault="009334C4" w:rsidP="009334C4">
      <w:pPr>
        <w:spacing w:after="0" w:line="240" w:lineRule="auto"/>
        <w:ind w:hanging="968"/>
        <w:rPr>
          <w:rFonts w:ascii="Arial" w:eastAsia="Times New Roman" w:hAnsi="Arial" w:cs="Arial"/>
          <w:color w:val="000000"/>
          <w:lang w:eastAsia="en-ZA"/>
        </w:rPr>
      </w:pPr>
      <w:r w:rsidRPr="009334C4">
        <w:rPr>
          <w:rFonts w:ascii="Arial" w:eastAsia="Times New Roman" w:hAnsi="Arial" w:cs="Arial"/>
          <w:i/>
          <w:iCs/>
          <w:color w:val="000000"/>
          <w:lang w:eastAsia="en-ZA"/>
        </w:rPr>
        <w:t>   (b)   </w:t>
      </w:r>
      <w:proofErr w:type="gramStart"/>
      <w:r w:rsidRPr="009334C4">
        <w:rPr>
          <w:rFonts w:ascii="Arial" w:eastAsia="Times New Roman" w:hAnsi="Arial" w:cs="Arial"/>
          <w:color w:val="000000"/>
          <w:lang w:eastAsia="en-ZA"/>
        </w:rPr>
        <w:t>the</w:t>
      </w:r>
      <w:proofErr w:type="gramEnd"/>
      <w:r w:rsidRPr="009334C4">
        <w:rPr>
          <w:rFonts w:ascii="Arial" w:eastAsia="Times New Roman" w:hAnsi="Arial" w:cs="Arial"/>
          <w:color w:val="000000"/>
          <w:lang w:eastAsia="en-ZA"/>
        </w:rPr>
        <w:t xml:space="preserve"> costs attendant upon the obtaining of the medico-legal reports of the following expert witnesses —</w:t>
      </w:r>
    </w:p>
    <w:p w:rsidR="009334C4" w:rsidRPr="009334C4" w:rsidRDefault="009334C4" w:rsidP="009334C4">
      <w:pPr>
        <w:spacing w:after="0" w:line="240" w:lineRule="auto"/>
        <w:ind w:hanging="1133"/>
        <w:rPr>
          <w:rFonts w:ascii="Arial" w:eastAsia="Times New Roman" w:hAnsi="Arial" w:cs="Arial"/>
          <w:color w:val="000000"/>
          <w:lang w:eastAsia="en-ZA"/>
        </w:rPr>
      </w:pPr>
      <w:r w:rsidRPr="009334C4">
        <w:rPr>
          <w:rFonts w:ascii="Arial" w:eastAsia="Times New Roman" w:hAnsi="Arial" w:cs="Arial"/>
          <w:color w:val="000000"/>
          <w:lang w:eastAsia="en-ZA"/>
        </w:rPr>
        <w:t>I       (</w:t>
      </w:r>
      <w:proofErr w:type="spellStart"/>
      <w:r w:rsidRPr="009334C4">
        <w:rPr>
          <w:rFonts w:ascii="Arial" w:eastAsia="Times New Roman" w:hAnsi="Arial" w:cs="Arial"/>
          <w:color w:val="000000"/>
          <w:lang w:eastAsia="en-ZA"/>
        </w:rPr>
        <w:t>i</w:t>
      </w:r>
      <w:proofErr w:type="spellEnd"/>
      <w:r w:rsidRPr="009334C4">
        <w:rPr>
          <w:rFonts w:ascii="Arial" w:eastAsia="Times New Roman" w:hAnsi="Arial" w:cs="Arial"/>
          <w:color w:val="000000"/>
          <w:lang w:eastAsia="en-ZA"/>
        </w:rPr>
        <w:t xml:space="preserve">)   Prof Smith; (ii) Dr </w:t>
      </w:r>
      <w:proofErr w:type="spellStart"/>
      <w:r w:rsidRPr="009334C4">
        <w:rPr>
          <w:rFonts w:ascii="Arial" w:eastAsia="Times New Roman" w:hAnsi="Arial" w:cs="Arial"/>
          <w:color w:val="000000"/>
          <w:lang w:eastAsia="en-ZA"/>
        </w:rPr>
        <w:t>Langenegger</w:t>
      </w:r>
      <w:proofErr w:type="spellEnd"/>
      <w:r w:rsidRPr="009334C4">
        <w:rPr>
          <w:rFonts w:ascii="Arial" w:eastAsia="Times New Roman" w:hAnsi="Arial" w:cs="Arial"/>
          <w:color w:val="000000"/>
          <w:lang w:eastAsia="en-ZA"/>
        </w:rPr>
        <w:t xml:space="preserve">; (iii) Dr Van </w:t>
      </w:r>
      <w:proofErr w:type="spellStart"/>
      <w:r w:rsidRPr="009334C4">
        <w:rPr>
          <w:rFonts w:ascii="Arial" w:eastAsia="Times New Roman" w:hAnsi="Arial" w:cs="Arial"/>
          <w:color w:val="000000"/>
          <w:lang w:eastAsia="en-ZA"/>
        </w:rPr>
        <w:t>Rensburg</w:t>
      </w:r>
      <w:proofErr w:type="spellEnd"/>
      <w:r w:rsidRPr="009334C4">
        <w:rPr>
          <w:rFonts w:ascii="Arial" w:eastAsia="Times New Roman" w:hAnsi="Arial" w:cs="Arial"/>
          <w:color w:val="000000"/>
          <w:lang w:eastAsia="en-ZA"/>
        </w:rPr>
        <w:t>;</w:t>
      </w:r>
    </w:p>
    <w:p w:rsidR="009334C4" w:rsidRPr="009334C4" w:rsidRDefault="009334C4" w:rsidP="009334C4">
      <w:pPr>
        <w:spacing w:after="0" w:line="240" w:lineRule="auto"/>
        <w:ind w:hanging="1133"/>
        <w:rPr>
          <w:rFonts w:ascii="Arial" w:eastAsia="Times New Roman" w:hAnsi="Arial" w:cs="Arial"/>
          <w:color w:val="000000"/>
          <w:lang w:eastAsia="en-ZA"/>
        </w:rPr>
      </w:pPr>
      <w:r w:rsidRPr="009334C4">
        <w:rPr>
          <w:rFonts w:ascii="Arial" w:eastAsia="Times New Roman" w:hAnsi="Arial" w:cs="Arial"/>
          <w:color w:val="000000"/>
          <w:lang w:eastAsia="en-ZA"/>
        </w:rPr>
        <w:t xml:space="preserve">      (iv)   Dr </w:t>
      </w:r>
      <w:proofErr w:type="spellStart"/>
      <w:r w:rsidRPr="009334C4">
        <w:rPr>
          <w:rFonts w:ascii="Arial" w:eastAsia="Times New Roman" w:hAnsi="Arial" w:cs="Arial"/>
          <w:color w:val="000000"/>
          <w:lang w:eastAsia="en-ZA"/>
        </w:rPr>
        <w:t>Lippert</w:t>
      </w:r>
      <w:proofErr w:type="spellEnd"/>
      <w:r w:rsidRPr="009334C4">
        <w:rPr>
          <w:rFonts w:ascii="Arial" w:eastAsia="Times New Roman" w:hAnsi="Arial" w:cs="Arial"/>
          <w:color w:val="000000"/>
          <w:lang w:eastAsia="en-ZA"/>
        </w:rPr>
        <w:t>; (v) Prof Nolte; and (</w:t>
      </w:r>
      <w:proofErr w:type="gramStart"/>
      <w:r w:rsidRPr="009334C4">
        <w:rPr>
          <w:rFonts w:ascii="Arial" w:eastAsia="Times New Roman" w:hAnsi="Arial" w:cs="Arial"/>
          <w:color w:val="000000"/>
          <w:lang w:eastAsia="en-ZA"/>
        </w:rPr>
        <w:t>vi</w:t>
      </w:r>
      <w:proofErr w:type="gramEnd"/>
      <w:r w:rsidRPr="009334C4">
        <w:rPr>
          <w:rFonts w:ascii="Arial" w:eastAsia="Times New Roman" w:hAnsi="Arial" w:cs="Arial"/>
          <w:color w:val="000000"/>
          <w:lang w:eastAsia="en-ZA"/>
        </w:rPr>
        <w:t xml:space="preserve">) Prof </w:t>
      </w:r>
      <w:proofErr w:type="spellStart"/>
      <w:r w:rsidRPr="009334C4">
        <w:rPr>
          <w:rFonts w:ascii="Arial" w:eastAsia="Times New Roman" w:hAnsi="Arial" w:cs="Arial"/>
          <w:color w:val="000000"/>
          <w:lang w:eastAsia="en-ZA"/>
        </w:rPr>
        <w:t>Lotz</w:t>
      </w:r>
      <w:proofErr w:type="spellEnd"/>
      <w:r w:rsidRPr="009334C4">
        <w:rPr>
          <w:rFonts w:ascii="Arial" w:eastAsia="Times New Roman" w:hAnsi="Arial" w:cs="Arial"/>
          <w:color w:val="000000"/>
          <w:lang w:eastAsia="en-ZA"/>
        </w:rPr>
        <w:t>;</w:t>
      </w:r>
    </w:p>
    <w:p w:rsidR="009334C4" w:rsidRPr="009334C4" w:rsidRDefault="009334C4" w:rsidP="009334C4">
      <w:pPr>
        <w:spacing w:after="0" w:line="240" w:lineRule="auto"/>
        <w:ind w:hanging="968"/>
        <w:rPr>
          <w:rFonts w:ascii="Arial" w:eastAsia="Times New Roman" w:hAnsi="Arial" w:cs="Arial"/>
          <w:color w:val="000000"/>
          <w:lang w:eastAsia="en-ZA"/>
        </w:rPr>
      </w:pPr>
      <w:r w:rsidRPr="009334C4">
        <w:rPr>
          <w:rFonts w:ascii="Arial" w:eastAsia="Times New Roman" w:hAnsi="Arial" w:cs="Arial"/>
          <w:i/>
          <w:iCs/>
          <w:color w:val="000000"/>
          <w:lang w:eastAsia="en-ZA"/>
        </w:rPr>
        <w:t>   (c)   </w:t>
      </w:r>
      <w:proofErr w:type="gramStart"/>
      <w:r w:rsidRPr="009334C4">
        <w:rPr>
          <w:rFonts w:ascii="Arial" w:eastAsia="Times New Roman" w:hAnsi="Arial" w:cs="Arial"/>
          <w:color w:val="000000"/>
          <w:lang w:eastAsia="en-ZA"/>
        </w:rPr>
        <w:t>the</w:t>
      </w:r>
      <w:proofErr w:type="gramEnd"/>
      <w:r w:rsidRPr="009334C4">
        <w:rPr>
          <w:rFonts w:ascii="Arial" w:eastAsia="Times New Roman" w:hAnsi="Arial" w:cs="Arial"/>
          <w:color w:val="000000"/>
          <w:lang w:eastAsia="en-ZA"/>
        </w:rPr>
        <w:t xml:space="preserve"> preparation, reservation and appearance fees of Prof Smith, Prof </w:t>
      </w:r>
      <w:proofErr w:type="spellStart"/>
      <w:r w:rsidRPr="009334C4">
        <w:rPr>
          <w:rFonts w:ascii="Arial" w:eastAsia="Times New Roman" w:hAnsi="Arial" w:cs="Arial"/>
          <w:color w:val="000000"/>
          <w:lang w:eastAsia="en-ZA"/>
        </w:rPr>
        <w:t>Lotz</w:t>
      </w:r>
      <w:proofErr w:type="spellEnd"/>
      <w:r w:rsidRPr="009334C4">
        <w:rPr>
          <w:rFonts w:ascii="Arial" w:eastAsia="Times New Roman" w:hAnsi="Arial" w:cs="Arial"/>
          <w:color w:val="000000"/>
          <w:lang w:eastAsia="en-ZA"/>
        </w:rPr>
        <w:t xml:space="preserve">, Dr </w:t>
      </w:r>
      <w:proofErr w:type="spellStart"/>
      <w:r w:rsidRPr="009334C4">
        <w:rPr>
          <w:rFonts w:ascii="Arial" w:eastAsia="Times New Roman" w:hAnsi="Arial" w:cs="Arial"/>
          <w:color w:val="000000"/>
          <w:lang w:eastAsia="en-ZA"/>
        </w:rPr>
        <w:t>Langenegger</w:t>
      </w:r>
      <w:proofErr w:type="spellEnd"/>
      <w:r w:rsidRPr="009334C4">
        <w:rPr>
          <w:rFonts w:ascii="Arial" w:eastAsia="Times New Roman" w:hAnsi="Arial" w:cs="Arial"/>
          <w:color w:val="000000"/>
          <w:lang w:eastAsia="en-ZA"/>
        </w:rPr>
        <w:t xml:space="preserve"> and Dr </w:t>
      </w:r>
      <w:proofErr w:type="spellStart"/>
      <w:r w:rsidRPr="009334C4">
        <w:rPr>
          <w:rFonts w:ascii="Arial" w:eastAsia="Times New Roman" w:hAnsi="Arial" w:cs="Arial"/>
          <w:color w:val="000000"/>
          <w:lang w:eastAsia="en-ZA"/>
        </w:rPr>
        <w:t>Lippert</w:t>
      </w:r>
      <w:proofErr w:type="spellEnd"/>
      <w:r w:rsidRPr="009334C4">
        <w:rPr>
          <w:rFonts w:ascii="Arial" w:eastAsia="Times New Roman" w:hAnsi="Arial" w:cs="Arial"/>
          <w:color w:val="000000"/>
          <w:lang w:eastAsia="en-ZA"/>
        </w:rPr>
        <w:t>;</w:t>
      </w:r>
    </w:p>
    <w:p w:rsidR="009334C4" w:rsidRPr="009334C4" w:rsidRDefault="009334C4" w:rsidP="009334C4">
      <w:pPr>
        <w:spacing w:after="0" w:line="240" w:lineRule="auto"/>
        <w:ind w:hanging="968"/>
        <w:rPr>
          <w:rFonts w:ascii="Arial" w:eastAsia="Times New Roman" w:hAnsi="Arial" w:cs="Arial"/>
          <w:color w:val="000000"/>
          <w:lang w:eastAsia="en-ZA"/>
        </w:rPr>
      </w:pPr>
      <w:r w:rsidRPr="009334C4">
        <w:rPr>
          <w:rFonts w:ascii="Arial" w:eastAsia="Times New Roman" w:hAnsi="Arial" w:cs="Arial"/>
          <w:i/>
          <w:iCs/>
          <w:color w:val="000000"/>
          <w:lang w:eastAsia="en-ZA"/>
        </w:rPr>
        <w:t>   (d)   </w:t>
      </w:r>
      <w:proofErr w:type="gramStart"/>
      <w:r w:rsidRPr="009334C4">
        <w:rPr>
          <w:rFonts w:ascii="Arial" w:eastAsia="Times New Roman" w:hAnsi="Arial" w:cs="Arial"/>
          <w:color w:val="000000"/>
          <w:lang w:eastAsia="en-ZA"/>
        </w:rPr>
        <w:t>the</w:t>
      </w:r>
      <w:proofErr w:type="gramEnd"/>
      <w:r w:rsidRPr="009334C4">
        <w:rPr>
          <w:rFonts w:ascii="Arial" w:eastAsia="Times New Roman" w:hAnsi="Arial" w:cs="Arial"/>
          <w:color w:val="000000"/>
          <w:lang w:eastAsia="en-ZA"/>
        </w:rPr>
        <w:t xml:space="preserve"> costs of Prof Smith shall include the reasonable costs of two return flights by air from Cape Town to Johannesburg and his </w:t>
      </w:r>
      <w:proofErr w:type="spellStart"/>
      <w:r w:rsidRPr="009334C4">
        <w:rPr>
          <w:rFonts w:ascii="Arial" w:eastAsia="Times New Roman" w:hAnsi="Arial" w:cs="Arial"/>
          <w:color w:val="000000"/>
          <w:lang w:eastAsia="en-ZA"/>
        </w:rPr>
        <w:t>Jreasonable</w:t>
      </w:r>
      <w:proofErr w:type="spellEnd"/>
      <w:r w:rsidRPr="009334C4">
        <w:rPr>
          <w:rFonts w:ascii="Arial" w:eastAsia="Times New Roman" w:hAnsi="Arial" w:cs="Arial"/>
          <w:color w:val="000000"/>
          <w:lang w:eastAsia="en-ZA"/>
        </w:rPr>
        <w:t xml:space="preserve"> and necessary accommodation costs.</w:t>
      </w:r>
    </w:p>
    <w:p w:rsidR="009334C4" w:rsidRPr="009334C4" w:rsidRDefault="009334C4" w:rsidP="009334C4">
      <w:pPr>
        <w:spacing w:after="24" w:line="240" w:lineRule="auto"/>
        <w:jc w:val="right"/>
        <w:rPr>
          <w:rFonts w:ascii="Arial" w:eastAsia="Times New Roman" w:hAnsi="Arial" w:cs="Arial"/>
          <w:b/>
          <w:bCs/>
          <w:color w:val="808080"/>
          <w:lang w:eastAsia="en-ZA"/>
        </w:rPr>
      </w:pPr>
      <w:r w:rsidRPr="009334C4">
        <w:rPr>
          <w:rFonts w:ascii="Arial" w:eastAsia="Times New Roman" w:hAnsi="Arial" w:cs="Arial"/>
          <w:b/>
          <w:bCs/>
          <w:color w:val="808080"/>
          <w:lang w:eastAsia="en-ZA"/>
        </w:rPr>
        <w:t>2015 (3) SA p269</w:t>
      </w:r>
    </w:p>
    <w:p w:rsidR="00F156D4" w:rsidRPr="009334C4" w:rsidRDefault="00F156D4">
      <w:pPr>
        <w:rPr>
          <w:rFonts w:ascii="Arial" w:hAnsi="Arial" w:cs="Arial"/>
        </w:rPr>
      </w:pPr>
    </w:p>
    <w:sectPr w:rsidR="00F156D4" w:rsidRPr="009334C4" w:rsidSect="00F156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4C4"/>
    <w:rsid w:val="009334C4"/>
    <w:rsid w:val="00F156D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34C4"/>
  </w:style>
  <w:style w:type="character" w:customStyle="1" w:styleId="mc">
    <w:name w:val="mc"/>
    <w:basedOn w:val="DefaultParagraphFont"/>
    <w:rsid w:val="009334C4"/>
  </w:style>
  <w:style w:type="character" w:customStyle="1" w:styleId="field-normal-blue">
    <w:name w:val="field-normal-blue"/>
    <w:basedOn w:val="DefaultParagraphFont"/>
    <w:rsid w:val="009334C4"/>
  </w:style>
  <w:style w:type="character" w:styleId="Hyperlink">
    <w:name w:val="Hyperlink"/>
    <w:basedOn w:val="DefaultParagraphFont"/>
    <w:uiPriority w:val="99"/>
    <w:semiHidden/>
    <w:unhideWhenUsed/>
    <w:rsid w:val="009334C4"/>
    <w:rPr>
      <w:color w:val="0000FF"/>
      <w:u w:val="single"/>
    </w:rPr>
  </w:style>
</w:styles>
</file>

<file path=word/webSettings.xml><?xml version="1.0" encoding="utf-8"?>
<w:webSettings xmlns:r="http://schemas.openxmlformats.org/officeDocument/2006/relationships" xmlns:w="http://schemas.openxmlformats.org/wordprocessingml/2006/main">
  <w:divs>
    <w:div w:id="471215561">
      <w:bodyDiv w:val="1"/>
      <w:marLeft w:val="0"/>
      <w:marRight w:val="0"/>
      <w:marTop w:val="0"/>
      <w:marBottom w:val="0"/>
      <w:divBdr>
        <w:top w:val="none" w:sz="0" w:space="0" w:color="auto"/>
        <w:left w:val="none" w:sz="0" w:space="0" w:color="auto"/>
        <w:bottom w:val="none" w:sz="0" w:space="0" w:color="auto"/>
        <w:right w:val="none" w:sz="0" w:space="0" w:color="auto"/>
      </w:divBdr>
      <w:divsChild>
        <w:div w:id="769928957">
          <w:marLeft w:val="0"/>
          <w:marRight w:val="0"/>
          <w:marTop w:val="144"/>
          <w:marBottom w:val="24"/>
          <w:divBdr>
            <w:top w:val="none" w:sz="0" w:space="0" w:color="auto"/>
            <w:left w:val="none" w:sz="0" w:space="0" w:color="auto"/>
            <w:bottom w:val="none" w:sz="0" w:space="0" w:color="auto"/>
            <w:right w:val="none" w:sz="0" w:space="0" w:color="auto"/>
          </w:divBdr>
        </w:div>
        <w:div w:id="924656775">
          <w:marLeft w:val="0"/>
          <w:marRight w:val="0"/>
          <w:marTop w:val="240"/>
          <w:marBottom w:val="24"/>
          <w:divBdr>
            <w:top w:val="none" w:sz="0" w:space="0" w:color="auto"/>
            <w:left w:val="none" w:sz="0" w:space="0" w:color="auto"/>
            <w:bottom w:val="none" w:sz="0" w:space="0" w:color="auto"/>
            <w:right w:val="none" w:sz="0" w:space="0" w:color="auto"/>
          </w:divBdr>
        </w:div>
        <w:div w:id="1064525313">
          <w:marLeft w:val="0"/>
          <w:marRight w:val="0"/>
          <w:marTop w:val="0"/>
          <w:marBottom w:val="0"/>
          <w:divBdr>
            <w:top w:val="none" w:sz="0" w:space="0" w:color="auto"/>
            <w:left w:val="none" w:sz="0" w:space="0" w:color="auto"/>
            <w:bottom w:val="none" w:sz="0" w:space="0" w:color="auto"/>
            <w:right w:val="none" w:sz="0" w:space="0" w:color="auto"/>
          </w:divBdr>
          <w:divsChild>
            <w:div w:id="1806509590">
              <w:marLeft w:val="0"/>
              <w:marRight w:val="0"/>
              <w:marTop w:val="0"/>
              <w:marBottom w:val="20"/>
              <w:divBdr>
                <w:top w:val="none" w:sz="0" w:space="0" w:color="auto"/>
                <w:left w:val="none" w:sz="0" w:space="0" w:color="auto"/>
                <w:bottom w:val="none" w:sz="0" w:space="0" w:color="auto"/>
                <w:right w:val="none" w:sz="0" w:space="0" w:color="auto"/>
              </w:divBdr>
            </w:div>
            <w:div w:id="1045562024">
              <w:marLeft w:val="0"/>
              <w:marRight w:val="0"/>
              <w:marTop w:val="0"/>
              <w:marBottom w:val="0"/>
              <w:divBdr>
                <w:top w:val="none" w:sz="0" w:space="0" w:color="auto"/>
                <w:left w:val="none" w:sz="0" w:space="0" w:color="auto"/>
                <w:bottom w:val="none" w:sz="0" w:space="0" w:color="auto"/>
                <w:right w:val="none" w:sz="0" w:space="0" w:color="auto"/>
              </w:divBdr>
            </w:div>
            <w:div w:id="1733500522">
              <w:marLeft w:val="0"/>
              <w:marRight w:val="0"/>
              <w:marTop w:val="0"/>
              <w:marBottom w:val="20"/>
              <w:divBdr>
                <w:top w:val="none" w:sz="0" w:space="0" w:color="auto"/>
                <w:left w:val="none" w:sz="0" w:space="0" w:color="auto"/>
                <w:bottom w:val="none" w:sz="0" w:space="0" w:color="auto"/>
                <w:right w:val="none" w:sz="0" w:space="0" w:color="auto"/>
              </w:divBdr>
            </w:div>
            <w:div w:id="1426806081">
              <w:marLeft w:val="0"/>
              <w:marRight w:val="0"/>
              <w:marTop w:val="0"/>
              <w:marBottom w:val="0"/>
              <w:divBdr>
                <w:top w:val="none" w:sz="0" w:space="0" w:color="auto"/>
                <w:left w:val="none" w:sz="0" w:space="0" w:color="auto"/>
                <w:bottom w:val="none" w:sz="0" w:space="0" w:color="auto"/>
                <w:right w:val="none" w:sz="0" w:space="0" w:color="auto"/>
              </w:divBdr>
            </w:div>
            <w:div w:id="1117068918">
              <w:marLeft w:val="0"/>
              <w:marRight w:val="0"/>
              <w:marTop w:val="0"/>
              <w:marBottom w:val="20"/>
              <w:divBdr>
                <w:top w:val="none" w:sz="0" w:space="0" w:color="auto"/>
                <w:left w:val="none" w:sz="0" w:space="0" w:color="auto"/>
                <w:bottom w:val="none" w:sz="0" w:space="0" w:color="auto"/>
                <w:right w:val="none" w:sz="0" w:space="0" w:color="auto"/>
              </w:divBdr>
            </w:div>
            <w:div w:id="574435899">
              <w:marLeft w:val="0"/>
              <w:marRight w:val="0"/>
              <w:marTop w:val="0"/>
              <w:marBottom w:val="0"/>
              <w:divBdr>
                <w:top w:val="none" w:sz="0" w:space="0" w:color="auto"/>
                <w:left w:val="none" w:sz="0" w:space="0" w:color="auto"/>
                <w:bottom w:val="none" w:sz="0" w:space="0" w:color="auto"/>
                <w:right w:val="none" w:sz="0" w:space="0" w:color="auto"/>
              </w:divBdr>
            </w:div>
            <w:div w:id="186909856">
              <w:marLeft w:val="0"/>
              <w:marRight w:val="0"/>
              <w:marTop w:val="0"/>
              <w:marBottom w:val="20"/>
              <w:divBdr>
                <w:top w:val="none" w:sz="0" w:space="0" w:color="auto"/>
                <w:left w:val="none" w:sz="0" w:space="0" w:color="auto"/>
                <w:bottom w:val="none" w:sz="0" w:space="0" w:color="auto"/>
                <w:right w:val="none" w:sz="0" w:space="0" w:color="auto"/>
              </w:divBdr>
            </w:div>
            <w:div w:id="1760710830">
              <w:marLeft w:val="0"/>
              <w:marRight w:val="0"/>
              <w:marTop w:val="0"/>
              <w:marBottom w:val="0"/>
              <w:divBdr>
                <w:top w:val="none" w:sz="0" w:space="0" w:color="auto"/>
                <w:left w:val="none" w:sz="0" w:space="0" w:color="auto"/>
                <w:bottom w:val="none" w:sz="0" w:space="0" w:color="auto"/>
                <w:right w:val="none" w:sz="0" w:space="0" w:color="auto"/>
              </w:divBdr>
            </w:div>
            <w:div w:id="1075739527">
              <w:marLeft w:val="0"/>
              <w:marRight w:val="0"/>
              <w:marTop w:val="0"/>
              <w:marBottom w:val="20"/>
              <w:divBdr>
                <w:top w:val="none" w:sz="0" w:space="0" w:color="auto"/>
                <w:left w:val="none" w:sz="0" w:space="0" w:color="auto"/>
                <w:bottom w:val="none" w:sz="0" w:space="0" w:color="auto"/>
                <w:right w:val="none" w:sz="0" w:space="0" w:color="auto"/>
              </w:divBdr>
            </w:div>
            <w:div w:id="168718922">
              <w:marLeft w:val="0"/>
              <w:marRight w:val="0"/>
              <w:marTop w:val="0"/>
              <w:marBottom w:val="0"/>
              <w:divBdr>
                <w:top w:val="none" w:sz="0" w:space="0" w:color="auto"/>
                <w:left w:val="none" w:sz="0" w:space="0" w:color="auto"/>
                <w:bottom w:val="none" w:sz="0" w:space="0" w:color="auto"/>
                <w:right w:val="none" w:sz="0" w:space="0" w:color="auto"/>
              </w:divBdr>
            </w:div>
            <w:div w:id="441462292">
              <w:marLeft w:val="0"/>
              <w:marRight w:val="0"/>
              <w:marTop w:val="0"/>
              <w:marBottom w:val="20"/>
              <w:divBdr>
                <w:top w:val="none" w:sz="0" w:space="0" w:color="auto"/>
                <w:left w:val="none" w:sz="0" w:space="0" w:color="auto"/>
                <w:bottom w:val="none" w:sz="0" w:space="0" w:color="auto"/>
                <w:right w:val="none" w:sz="0" w:space="0" w:color="auto"/>
              </w:divBdr>
            </w:div>
            <w:div w:id="966744403">
              <w:marLeft w:val="0"/>
              <w:marRight w:val="0"/>
              <w:marTop w:val="0"/>
              <w:marBottom w:val="0"/>
              <w:divBdr>
                <w:top w:val="none" w:sz="0" w:space="0" w:color="auto"/>
                <w:left w:val="none" w:sz="0" w:space="0" w:color="auto"/>
                <w:bottom w:val="none" w:sz="0" w:space="0" w:color="auto"/>
                <w:right w:val="none" w:sz="0" w:space="0" w:color="auto"/>
              </w:divBdr>
            </w:div>
            <w:div w:id="1525900531">
              <w:marLeft w:val="0"/>
              <w:marRight w:val="0"/>
              <w:marTop w:val="0"/>
              <w:marBottom w:val="20"/>
              <w:divBdr>
                <w:top w:val="none" w:sz="0" w:space="0" w:color="auto"/>
                <w:left w:val="none" w:sz="0" w:space="0" w:color="auto"/>
                <w:bottom w:val="none" w:sz="0" w:space="0" w:color="auto"/>
                <w:right w:val="none" w:sz="0" w:space="0" w:color="auto"/>
              </w:divBdr>
            </w:div>
            <w:div w:id="1755397642">
              <w:marLeft w:val="0"/>
              <w:marRight w:val="0"/>
              <w:marTop w:val="0"/>
              <w:marBottom w:val="0"/>
              <w:divBdr>
                <w:top w:val="none" w:sz="0" w:space="0" w:color="auto"/>
                <w:left w:val="none" w:sz="0" w:space="0" w:color="auto"/>
                <w:bottom w:val="none" w:sz="0" w:space="0" w:color="auto"/>
                <w:right w:val="none" w:sz="0" w:space="0" w:color="auto"/>
              </w:divBdr>
            </w:div>
            <w:div w:id="794327237">
              <w:marLeft w:val="0"/>
              <w:marRight w:val="0"/>
              <w:marTop w:val="0"/>
              <w:marBottom w:val="20"/>
              <w:divBdr>
                <w:top w:val="none" w:sz="0" w:space="0" w:color="auto"/>
                <w:left w:val="none" w:sz="0" w:space="0" w:color="auto"/>
                <w:bottom w:val="none" w:sz="0" w:space="0" w:color="auto"/>
                <w:right w:val="none" w:sz="0" w:space="0" w:color="auto"/>
              </w:divBdr>
            </w:div>
            <w:div w:id="1351371062">
              <w:marLeft w:val="0"/>
              <w:marRight w:val="0"/>
              <w:marTop w:val="0"/>
              <w:marBottom w:val="20"/>
              <w:divBdr>
                <w:top w:val="none" w:sz="0" w:space="0" w:color="auto"/>
                <w:left w:val="none" w:sz="0" w:space="0" w:color="auto"/>
                <w:bottom w:val="none" w:sz="0" w:space="0" w:color="auto"/>
                <w:right w:val="none" w:sz="0" w:space="0" w:color="auto"/>
              </w:divBdr>
            </w:div>
          </w:divsChild>
        </w:div>
        <w:div w:id="1688367405">
          <w:marLeft w:val="0"/>
          <w:marRight w:val="0"/>
          <w:marTop w:val="0"/>
          <w:marBottom w:val="0"/>
          <w:divBdr>
            <w:top w:val="none" w:sz="0" w:space="0" w:color="auto"/>
            <w:left w:val="none" w:sz="0" w:space="0" w:color="auto"/>
            <w:bottom w:val="none" w:sz="0" w:space="0" w:color="auto"/>
            <w:right w:val="none" w:sz="0" w:space="0" w:color="auto"/>
          </w:divBdr>
        </w:div>
        <w:div w:id="40129852">
          <w:marLeft w:val="0"/>
          <w:marRight w:val="0"/>
          <w:marTop w:val="120"/>
          <w:marBottom w:val="0"/>
          <w:divBdr>
            <w:top w:val="single" w:sz="18" w:space="0" w:color="808080"/>
            <w:left w:val="none" w:sz="0" w:space="0" w:color="auto"/>
            <w:bottom w:val="none" w:sz="0" w:space="0" w:color="auto"/>
            <w:right w:val="none" w:sz="0" w:space="0" w:color="auto"/>
          </w:divBdr>
        </w:div>
        <w:div w:id="271669237">
          <w:marLeft w:val="0"/>
          <w:marRight w:val="0"/>
          <w:marTop w:val="144"/>
          <w:marBottom w:val="24"/>
          <w:divBdr>
            <w:top w:val="none" w:sz="0" w:space="0" w:color="auto"/>
            <w:left w:val="none" w:sz="0" w:space="0" w:color="auto"/>
            <w:bottom w:val="none" w:sz="0" w:space="0" w:color="auto"/>
            <w:right w:val="none" w:sz="0" w:space="0" w:color="auto"/>
          </w:divBdr>
        </w:div>
        <w:div w:id="1948584061">
          <w:marLeft w:val="460"/>
          <w:marRight w:val="0"/>
          <w:marTop w:val="60"/>
          <w:marBottom w:val="60"/>
          <w:divBdr>
            <w:top w:val="none" w:sz="0" w:space="0" w:color="auto"/>
            <w:left w:val="none" w:sz="0" w:space="0" w:color="auto"/>
            <w:bottom w:val="none" w:sz="0" w:space="0" w:color="auto"/>
            <w:right w:val="none" w:sz="0" w:space="0" w:color="auto"/>
          </w:divBdr>
        </w:div>
        <w:div w:id="495877323">
          <w:marLeft w:val="0"/>
          <w:marRight w:val="0"/>
          <w:marTop w:val="144"/>
          <w:marBottom w:val="24"/>
          <w:divBdr>
            <w:top w:val="none" w:sz="0" w:space="0" w:color="auto"/>
            <w:left w:val="none" w:sz="0" w:space="0" w:color="auto"/>
            <w:bottom w:val="none" w:sz="0" w:space="0" w:color="auto"/>
            <w:right w:val="none" w:sz="0" w:space="0" w:color="auto"/>
          </w:divBdr>
        </w:div>
        <w:div w:id="396131112">
          <w:marLeft w:val="0"/>
          <w:marRight w:val="0"/>
          <w:marTop w:val="0"/>
          <w:marBottom w:val="0"/>
          <w:divBdr>
            <w:top w:val="none" w:sz="0" w:space="0" w:color="auto"/>
            <w:left w:val="none" w:sz="0" w:space="0" w:color="auto"/>
            <w:bottom w:val="none" w:sz="0" w:space="0" w:color="auto"/>
            <w:right w:val="none" w:sz="0" w:space="0" w:color="auto"/>
          </w:divBdr>
        </w:div>
        <w:div w:id="1731003098">
          <w:marLeft w:val="0"/>
          <w:marRight w:val="0"/>
          <w:marTop w:val="0"/>
          <w:marBottom w:val="0"/>
          <w:divBdr>
            <w:top w:val="none" w:sz="0" w:space="0" w:color="auto"/>
            <w:left w:val="none" w:sz="0" w:space="0" w:color="auto"/>
            <w:bottom w:val="none" w:sz="0" w:space="0" w:color="auto"/>
            <w:right w:val="none" w:sz="0" w:space="0" w:color="auto"/>
          </w:divBdr>
        </w:div>
        <w:div w:id="1625652864">
          <w:marLeft w:val="0"/>
          <w:marRight w:val="0"/>
          <w:marTop w:val="240"/>
          <w:marBottom w:val="24"/>
          <w:divBdr>
            <w:top w:val="single" w:sz="8" w:space="2" w:color="808080"/>
            <w:left w:val="none" w:sz="0" w:space="0" w:color="auto"/>
            <w:bottom w:val="none" w:sz="0" w:space="0" w:color="auto"/>
            <w:right w:val="none" w:sz="0" w:space="0" w:color="auto"/>
          </w:divBdr>
        </w:div>
        <w:div w:id="463696936">
          <w:marLeft w:val="0"/>
          <w:marRight w:val="0"/>
          <w:marTop w:val="0"/>
          <w:marBottom w:val="0"/>
          <w:divBdr>
            <w:top w:val="none" w:sz="0" w:space="0" w:color="auto"/>
            <w:left w:val="none" w:sz="0" w:space="0" w:color="auto"/>
            <w:bottom w:val="none" w:sz="0" w:space="0" w:color="auto"/>
            <w:right w:val="none" w:sz="0" w:space="0" w:color="auto"/>
          </w:divBdr>
        </w:div>
        <w:div w:id="1408843365">
          <w:marLeft w:val="0"/>
          <w:marRight w:val="0"/>
          <w:marTop w:val="0"/>
          <w:marBottom w:val="0"/>
          <w:divBdr>
            <w:top w:val="none" w:sz="0" w:space="0" w:color="auto"/>
            <w:left w:val="none" w:sz="0" w:space="0" w:color="auto"/>
            <w:bottom w:val="none" w:sz="0" w:space="0" w:color="auto"/>
            <w:right w:val="none" w:sz="0" w:space="0" w:color="auto"/>
          </w:divBdr>
        </w:div>
        <w:div w:id="1045639132">
          <w:marLeft w:val="0"/>
          <w:marRight w:val="0"/>
          <w:marTop w:val="0"/>
          <w:marBottom w:val="0"/>
          <w:divBdr>
            <w:top w:val="none" w:sz="0" w:space="0" w:color="auto"/>
            <w:left w:val="none" w:sz="0" w:space="0" w:color="auto"/>
            <w:bottom w:val="none" w:sz="0" w:space="0" w:color="auto"/>
            <w:right w:val="none" w:sz="0" w:space="0" w:color="auto"/>
          </w:divBdr>
        </w:div>
        <w:div w:id="839196695">
          <w:marLeft w:val="0"/>
          <w:marRight w:val="0"/>
          <w:marTop w:val="240"/>
          <w:marBottom w:val="24"/>
          <w:divBdr>
            <w:top w:val="single" w:sz="8" w:space="2" w:color="808080"/>
            <w:left w:val="none" w:sz="0" w:space="0" w:color="auto"/>
            <w:bottom w:val="none" w:sz="0" w:space="0" w:color="auto"/>
            <w:right w:val="none" w:sz="0" w:space="0" w:color="auto"/>
          </w:divBdr>
        </w:div>
        <w:div w:id="307169784">
          <w:marLeft w:val="0"/>
          <w:marRight w:val="0"/>
          <w:marTop w:val="144"/>
          <w:marBottom w:val="24"/>
          <w:divBdr>
            <w:top w:val="none" w:sz="0" w:space="0" w:color="auto"/>
            <w:left w:val="none" w:sz="0" w:space="0" w:color="auto"/>
            <w:bottom w:val="none" w:sz="0" w:space="0" w:color="auto"/>
            <w:right w:val="none" w:sz="0" w:space="0" w:color="auto"/>
          </w:divBdr>
        </w:div>
        <w:div w:id="59325248">
          <w:marLeft w:val="0"/>
          <w:marRight w:val="0"/>
          <w:marTop w:val="0"/>
          <w:marBottom w:val="0"/>
          <w:divBdr>
            <w:top w:val="none" w:sz="0" w:space="0" w:color="auto"/>
            <w:left w:val="none" w:sz="0" w:space="0" w:color="auto"/>
            <w:bottom w:val="none" w:sz="0" w:space="0" w:color="auto"/>
            <w:right w:val="none" w:sz="0" w:space="0" w:color="auto"/>
          </w:divBdr>
        </w:div>
        <w:div w:id="756634732">
          <w:marLeft w:val="0"/>
          <w:marRight w:val="0"/>
          <w:marTop w:val="144"/>
          <w:marBottom w:val="24"/>
          <w:divBdr>
            <w:top w:val="none" w:sz="0" w:space="0" w:color="auto"/>
            <w:left w:val="none" w:sz="0" w:space="0" w:color="auto"/>
            <w:bottom w:val="none" w:sz="0" w:space="0" w:color="auto"/>
            <w:right w:val="none" w:sz="0" w:space="0" w:color="auto"/>
          </w:divBdr>
        </w:div>
        <w:div w:id="1142388404">
          <w:marLeft w:val="0"/>
          <w:marRight w:val="0"/>
          <w:marTop w:val="0"/>
          <w:marBottom w:val="0"/>
          <w:divBdr>
            <w:top w:val="none" w:sz="0" w:space="0" w:color="auto"/>
            <w:left w:val="none" w:sz="0" w:space="0" w:color="auto"/>
            <w:bottom w:val="none" w:sz="0" w:space="0" w:color="auto"/>
            <w:right w:val="none" w:sz="0" w:space="0" w:color="auto"/>
          </w:divBdr>
        </w:div>
        <w:div w:id="1879928153">
          <w:marLeft w:val="0"/>
          <w:marRight w:val="0"/>
          <w:marTop w:val="0"/>
          <w:marBottom w:val="0"/>
          <w:divBdr>
            <w:top w:val="none" w:sz="0" w:space="0" w:color="auto"/>
            <w:left w:val="none" w:sz="0" w:space="0" w:color="auto"/>
            <w:bottom w:val="none" w:sz="0" w:space="0" w:color="auto"/>
            <w:right w:val="none" w:sz="0" w:space="0" w:color="auto"/>
          </w:divBdr>
        </w:div>
        <w:div w:id="436216000">
          <w:marLeft w:val="0"/>
          <w:marRight w:val="0"/>
          <w:marTop w:val="144"/>
          <w:marBottom w:val="24"/>
          <w:divBdr>
            <w:top w:val="none" w:sz="0" w:space="0" w:color="auto"/>
            <w:left w:val="none" w:sz="0" w:space="0" w:color="auto"/>
            <w:bottom w:val="none" w:sz="0" w:space="0" w:color="auto"/>
            <w:right w:val="none" w:sz="0" w:space="0" w:color="auto"/>
          </w:divBdr>
        </w:div>
        <w:div w:id="140583538">
          <w:marLeft w:val="0"/>
          <w:marRight w:val="0"/>
          <w:marTop w:val="0"/>
          <w:marBottom w:val="0"/>
          <w:divBdr>
            <w:top w:val="none" w:sz="0" w:space="0" w:color="auto"/>
            <w:left w:val="none" w:sz="0" w:space="0" w:color="auto"/>
            <w:bottom w:val="none" w:sz="0" w:space="0" w:color="auto"/>
            <w:right w:val="none" w:sz="0" w:space="0" w:color="auto"/>
          </w:divBdr>
        </w:div>
        <w:div w:id="1879079268">
          <w:marLeft w:val="0"/>
          <w:marRight w:val="0"/>
          <w:marTop w:val="0"/>
          <w:marBottom w:val="0"/>
          <w:divBdr>
            <w:top w:val="none" w:sz="0" w:space="0" w:color="auto"/>
            <w:left w:val="none" w:sz="0" w:space="0" w:color="auto"/>
            <w:bottom w:val="none" w:sz="0" w:space="0" w:color="auto"/>
            <w:right w:val="none" w:sz="0" w:space="0" w:color="auto"/>
          </w:divBdr>
        </w:div>
        <w:div w:id="221337042">
          <w:marLeft w:val="0"/>
          <w:marRight w:val="0"/>
          <w:marTop w:val="0"/>
          <w:marBottom w:val="0"/>
          <w:divBdr>
            <w:top w:val="none" w:sz="0" w:space="0" w:color="auto"/>
            <w:left w:val="none" w:sz="0" w:space="0" w:color="auto"/>
            <w:bottom w:val="none" w:sz="0" w:space="0" w:color="auto"/>
            <w:right w:val="none" w:sz="0" w:space="0" w:color="auto"/>
          </w:divBdr>
        </w:div>
        <w:div w:id="2092072849">
          <w:marLeft w:val="567"/>
          <w:marRight w:val="0"/>
          <w:marTop w:val="120"/>
          <w:marBottom w:val="0"/>
          <w:divBdr>
            <w:top w:val="none" w:sz="0" w:space="0" w:color="auto"/>
            <w:left w:val="none" w:sz="0" w:space="0" w:color="auto"/>
            <w:bottom w:val="none" w:sz="0" w:space="0" w:color="auto"/>
            <w:right w:val="none" w:sz="0" w:space="0" w:color="auto"/>
          </w:divBdr>
        </w:div>
        <w:div w:id="110249367">
          <w:marLeft w:val="567"/>
          <w:marRight w:val="0"/>
          <w:marTop w:val="120"/>
          <w:marBottom w:val="0"/>
          <w:divBdr>
            <w:top w:val="none" w:sz="0" w:space="0" w:color="auto"/>
            <w:left w:val="none" w:sz="0" w:space="0" w:color="auto"/>
            <w:bottom w:val="none" w:sz="0" w:space="0" w:color="auto"/>
            <w:right w:val="none" w:sz="0" w:space="0" w:color="auto"/>
          </w:divBdr>
        </w:div>
        <w:div w:id="1096246084">
          <w:marLeft w:val="567"/>
          <w:marRight w:val="0"/>
          <w:marTop w:val="120"/>
          <w:marBottom w:val="0"/>
          <w:divBdr>
            <w:top w:val="none" w:sz="0" w:space="0" w:color="auto"/>
            <w:left w:val="none" w:sz="0" w:space="0" w:color="auto"/>
            <w:bottom w:val="none" w:sz="0" w:space="0" w:color="auto"/>
            <w:right w:val="none" w:sz="0" w:space="0" w:color="auto"/>
          </w:divBdr>
        </w:div>
        <w:div w:id="1215047619">
          <w:marLeft w:val="1293"/>
          <w:marRight w:val="0"/>
          <w:marTop w:val="120"/>
          <w:marBottom w:val="0"/>
          <w:divBdr>
            <w:top w:val="none" w:sz="0" w:space="0" w:color="auto"/>
            <w:left w:val="none" w:sz="0" w:space="0" w:color="auto"/>
            <w:bottom w:val="none" w:sz="0" w:space="0" w:color="auto"/>
            <w:right w:val="none" w:sz="0" w:space="0" w:color="auto"/>
          </w:divBdr>
        </w:div>
        <w:div w:id="2072650708">
          <w:marLeft w:val="1293"/>
          <w:marRight w:val="0"/>
          <w:marTop w:val="120"/>
          <w:marBottom w:val="0"/>
          <w:divBdr>
            <w:top w:val="none" w:sz="0" w:space="0" w:color="auto"/>
            <w:left w:val="none" w:sz="0" w:space="0" w:color="auto"/>
            <w:bottom w:val="none" w:sz="0" w:space="0" w:color="auto"/>
            <w:right w:val="none" w:sz="0" w:space="0" w:color="auto"/>
          </w:divBdr>
        </w:div>
        <w:div w:id="19085528">
          <w:marLeft w:val="1984"/>
          <w:marRight w:val="0"/>
          <w:marTop w:val="120"/>
          <w:marBottom w:val="0"/>
          <w:divBdr>
            <w:top w:val="none" w:sz="0" w:space="0" w:color="auto"/>
            <w:left w:val="none" w:sz="0" w:space="0" w:color="auto"/>
            <w:bottom w:val="none" w:sz="0" w:space="0" w:color="auto"/>
            <w:right w:val="none" w:sz="0" w:space="0" w:color="auto"/>
          </w:divBdr>
        </w:div>
        <w:div w:id="1211304746">
          <w:marLeft w:val="1984"/>
          <w:marRight w:val="0"/>
          <w:marTop w:val="120"/>
          <w:marBottom w:val="0"/>
          <w:divBdr>
            <w:top w:val="none" w:sz="0" w:space="0" w:color="auto"/>
            <w:left w:val="none" w:sz="0" w:space="0" w:color="auto"/>
            <w:bottom w:val="none" w:sz="0" w:space="0" w:color="auto"/>
            <w:right w:val="none" w:sz="0" w:space="0" w:color="auto"/>
          </w:divBdr>
        </w:div>
        <w:div w:id="1398092513">
          <w:marLeft w:val="1293"/>
          <w:marRight w:val="0"/>
          <w:marTop w:val="120"/>
          <w:marBottom w:val="0"/>
          <w:divBdr>
            <w:top w:val="none" w:sz="0" w:space="0" w:color="auto"/>
            <w:left w:val="none" w:sz="0" w:space="0" w:color="auto"/>
            <w:bottom w:val="none" w:sz="0" w:space="0" w:color="auto"/>
            <w:right w:val="none" w:sz="0" w:space="0" w:color="auto"/>
          </w:divBdr>
        </w:div>
        <w:div w:id="1888299938">
          <w:marLeft w:val="1293"/>
          <w:marRight w:val="0"/>
          <w:marTop w:val="120"/>
          <w:marBottom w:val="0"/>
          <w:divBdr>
            <w:top w:val="none" w:sz="0" w:space="0" w:color="auto"/>
            <w:left w:val="none" w:sz="0" w:space="0" w:color="auto"/>
            <w:bottom w:val="none" w:sz="0" w:space="0" w:color="auto"/>
            <w:right w:val="none" w:sz="0" w:space="0" w:color="auto"/>
          </w:divBdr>
        </w:div>
        <w:div w:id="1796171674">
          <w:marLeft w:val="0"/>
          <w:marRight w:val="0"/>
          <w:marTop w:val="240"/>
          <w:marBottom w:val="24"/>
          <w:divBdr>
            <w:top w:val="single" w:sz="8" w:space="2" w:color="80808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pproducts.jutalaw.co.za/nxt/foliolinks.asp?f=xhitlist&amp;xhitlist_x=Advanced&amp;xhitlist_vpc=first&amp;xhitlist_xsl=querylink.xsl&amp;xhitlist_sel=title;path;content-type;home-title&amp;xhitlist_d=%7bsalrFh%7d&amp;xhitlist_q=%5bfield%20folio-destination-name:%27583285%27%5d&amp;xhitlist_md=target-id=0-0-0-2231" TargetMode="External"/><Relationship Id="rId3" Type="http://schemas.openxmlformats.org/officeDocument/2006/relationships/webSettings" Target="webSettings.xml"/><Relationship Id="rId7" Type="http://schemas.openxmlformats.org/officeDocument/2006/relationships/hyperlink" Target="http://ipproducts.jutalaw.co.za/nxt/foliolinks.asp?f=xhitlist&amp;xhitlist_x=Advanced&amp;xhitlist_vpc=first&amp;xhitlist_xsl=querylink.xsl&amp;xhitlist_sel=title;path;content-type;home-title&amp;xhitlist_d=%7bsalrFh%7d&amp;xhitlist_q=%5bfield%20folio-destination-name:%2720145317%27%5d&amp;xhitlist_md=target-id=0-0-0-17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pproducts.jutalaw.co.za/nxt/foliolinks.asp?f=xhitlist&amp;xhitlist_x=Advanced&amp;xhitlist_vpc=first&amp;xhitlist_xsl=querylink.xsl&amp;xhitlist_sel=title;path;content-type;home-title&amp;xhitlist_d=%7bsalrFh%7d&amp;xhitlist_q=%5bfield%20folio-destination-name:%27026305%27%5d&amp;xhitlist_md=target-id=0-0-0-2229" TargetMode="External"/><Relationship Id="rId5" Type="http://schemas.openxmlformats.org/officeDocument/2006/relationships/hyperlink" Target="http://ipproducts.jutalaw.co.za/nxt/foliolinks.asp?f=xhitlist&amp;xhitlist_x=Advanced&amp;xhitlist_vpc=first&amp;xhitlist_xsl=querylink.xsl&amp;xhitlist_sel=title;path;content-type;home-title&amp;xhitlist_d=%7bsalrFh%7d&amp;xhitlist_q=%5bfield%20folio-destination-name:%27021511%27%5d&amp;xhitlist_md=target-id=0-0-0-2037" TargetMode="External"/><Relationship Id="rId10" Type="http://schemas.openxmlformats.org/officeDocument/2006/relationships/theme" Target="theme/theme1.xml"/><Relationship Id="rId4" Type="http://schemas.openxmlformats.org/officeDocument/2006/relationships/hyperlink" Target="http://ipproducts.jutalaw.co.za/nxt/foliolinks.asp?f=xhitlist&amp;xhitlist_x=Advanced&amp;xhitlist_vpc=first&amp;xhitlist_xsl=querylink.xsl&amp;xhitlist_sel=title;path;content-type;home-title&amp;xhitlist_d=%7bsalrFh%7d&amp;xhitlist_q=%5bfield%20folio-destination-name:%2720122137%27%5d&amp;xhitlist_md=target-id=0-0-0-222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1484</Words>
  <Characters>8459</Characters>
  <Application>Microsoft Office Word</Application>
  <DocSecurity>0</DocSecurity>
  <Lines>70</Lines>
  <Paragraphs>19</Paragraphs>
  <ScaleCrop>false</ScaleCrop>
  <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buyile</dc:creator>
  <cp:lastModifiedBy>buyile</cp:lastModifiedBy>
  <cp:revision>1</cp:revision>
  <dcterms:created xsi:type="dcterms:W3CDTF">2016-01-05T15:30:00Z</dcterms:created>
  <dcterms:modified xsi:type="dcterms:W3CDTF">2016-01-05T15:31:00Z</dcterms:modified>
</cp:coreProperties>
</file>